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62" w:rsidRDefault="00B23462">
      <w:pPr>
        <w:rPr>
          <w:b/>
          <w:bCs/>
          <w:sz w:val="28"/>
          <w:szCs w:val="28"/>
        </w:rPr>
      </w:pPr>
    </w:p>
    <w:p w:rsidR="00394018" w:rsidRDefault="00394018">
      <w:pPr>
        <w:rPr>
          <w:b/>
          <w:bCs/>
          <w:sz w:val="28"/>
          <w:szCs w:val="28"/>
        </w:rPr>
      </w:pPr>
    </w:p>
    <w:p w:rsidR="00B23462" w:rsidRDefault="00B23462">
      <w:pPr>
        <w:rPr>
          <w:b/>
          <w:bCs/>
          <w:sz w:val="28"/>
          <w:szCs w:val="28"/>
        </w:rPr>
      </w:pPr>
    </w:p>
    <w:p w:rsidR="00B23462" w:rsidRDefault="00B23462">
      <w:pPr>
        <w:rPr>
          <w:b/>
          <w:bCs/>
          <w:sz w:val="28"/>
          <w:szCs w:val="28"/>
        </w:rPr>
      </w:pPr>
    </w:p>
    <w:p w:rsidR="00B23462" w:rsidRDefault="00B23462">
      <w:pPr>
        <w:rPr>
          <w:b/>
          <w:bCs/>
          <w:sz w:val="28"/>
          <w:szCs w:val="28"/>
        </w:rPr>
      </w:pPr>
    </w:p>
    <w:p w:rsidR="00B23462" w:rsidRDefault="00B23462">
      <w:pPr>
        <w:rPr>
          <w:rFonts w:ascii="Arial" w:hAnsi="Arial" w:cs="Arial"/>
          <w:b/>
          <w:bCs/>
          <w:sz w:val="48"/>
          <w:szCs w:val="48"/>
        </w:rPr>
      </w:pPr>
      <w:r w:rsidRPr="00B23462">
        <w:rPr>
          <w:rFonts w:ascii="Arial" w:hAnsi="Arial" w:cs="Arial"/>
          <w:b/>
          <w:bCs/>
          <w:sz w:val="48"/>
          <w:szCs w:val="48"/>
        </w:rPr>
        <w:t>Gender Pay Reporting</w:t>
      </w:r>
    </w:p>
    <w:p w:rsidR="00B23462" w:rsidRPr="00B23462" w:rsidRDefault="00B23462">
      <w:pPr>
        <w:rPr>
          <w:rFonts w:ascii="Arial" w:hAnsi="Arial" w:cs="Arial"/>
          <w:b/>
          <w:bCs/>
          <w:sz w:val="48"/>
          <w:szCs w:val="48"/>
        </w:rPr>
      </w:pPr>
    </w:p>
    <w:p w:rsidR="00B23462" w:rsidRDefault="00BB428F">
      <w:pPr>
        <w:rPr>
          <w:rFonts w:ascii="Arial" w:hAnsi="Arial" w:cs="Arial"/>
          <w:b/>
          <w:bCs/>
          <w:sz w:val="48"/>
          <w:szCs w:val="48"/>
        </w:rPr>
      </w:pPr>
      <w:r>
        <w:rPr>
          <w:rFonts w:ascii="Arial" w:hAnsi="Arial" w:cs="Arial"/>
          <w:b/>
          <w:bCs/>
          <w:sz w:val="48"/>
          <w:szCs w:val="48"/>
        </w:rPr>
        <w:t>For the period ending 5</w:t>
      </w:r>
      <w:r w:rsidRPr="00BB428F">
        <w:rPr>
          <w:rFonts w:ascii="Arial" w:hAnsi="Arial" w:cs="Arial"/>
          <w:b/>
          <w:bCs/>
          <w:sz w:val="48"/>
          <w:szCs w:val="48"/>
          <w:vertAlign w:val="superscript"/>
        </w:rPr>
        <w:t>th</w:t>
      </w:r>
      <w:r w:rsidR="00985E34">
        <w:rPr>
          <w:rFonts w:ascii="Arial" w:hAnsi="Arial" w:cs="Arial"/>
          <w:b/>
          <w:bCs/>
          <w:sz w:val="48"/>
          <w:szCs w:val="48"/>
        </w:rPr>
        <w:t xml:space="preserve"> April 2024</w:t>
      </w:r>
    </w:p>
    <w:p w:rsidR="00B23462" w:rsidRDefault="00B23462">
      <w:pPr>
        <w:rPr>
          <w:rFonts w:ascii="Arial" w:hAnsi="Arial" w:cs="Arial"/>
          <w:b/>
          <w:bCs/>
          <w:sz w:val="48"/>
          <w:szCs w:val="48"/>
        </w:rPr>
      </w:pPr>
    </w:p>
    <w:p w:rsidR="00B23462" w:rsidRPr="00820825" w:rsidRDefault="00B23462" w:rsidP="00767020">
      <w:pPr>
        <w:rPr>
          <w:rFonts w:ascii="Arial" w:hAnsi="Arial" w:cs="Arial"/>
          <w:b/>
          <w:bCs/>
          <w:sz w:val="48"/>
          <w:szCs w:val="48"/>
        </w:rPr>
      </w:pPr>
      <w:r w:rsidRPr="00B23462">
        <w:rPr>
          <w:rFonts w:ascii="Arial" w:hAnsi="Arial" w:cs="Arial"/>
          <w:b/>
          <w:bCs/>
          <w:sz w:val="48"/>
          <w:szCs w:val="48"/>
        </w:rPr>
        <w:t>INEOS FPS Ltd.</w:t>
      </w:r>
      <w:r>
        <w:rPr>
          <w:b/>
          <w:bCs/>
          <w:sz w:val="28"/>
          <w:szCs w:val="28"/>
        </w:rPr>
        <w:br w:type="page"/>
      </w:r>
    </w:p>
    <w:p w:rsidR="00767020" w:rsidRDefault="00767020" w:rsidP="00912A81">
      <w:pPr>
        <w:pStyle w:val="Default"/>
        <w:rPr>
          <w:rFonts w:ascii="Arial" w:hAnsi="Arial" w:cs="Arial"/>
          <w:b/>
          <w:bCs/>
          <w:sz w:val="28"/>
          <w:szCs w:val="28"/>
        </w:rPr>
      </w:pPr>
    </w:p>
    <w:p w:rsidR="00912A81" w:rsidRPr="00B23462" w:rsidRDefault="00912A81" w:rsidP="00912A81">
      <w:pPr>
        <w:pStyle w:val="Default"/>
        <w:rPr>
          <w:rFonts w:ascii="Arial" w:hAnsi="Arial" w:cs="Arial"/>
          <w:sz w:val="28"/>
          <w:szCs w:val="28"/>
        </w:rPr>
      </w:pPr>
      <w:r w:rsidRPr="00B23462">
        <w:rPr>
          <w:rFonts w:ascii="Arial" w:hAnsi="Arial" w:cs="Arial"/>
          <w:b/>
          <w:bCs/>
          <w:sz w:val="28"/>
          <w:szCs w:val="28"/>
        </w:rPr>
        <w:t>Gender Pay Report 20</w:t>
      </w:r>
      <w:r w:rsidR="00985E34">
        <w:rPr>
          <w:rFonts w:ascii="Arial" w:hAnsi="Arial" w:cs="Arial"/>
          <w:b/>
          <w:bCs/>
          <w:sz w:val="28"/>
          <w:szCs w:val="28"/>
        </w:rPr>
        <w:t>24</w:t>
      </w:r>
      <w:r w:rsidR="00285F54" w:rsidRPr="00B23462">
        <w:rPr>
          <w:rFonts w:ascii="Arial" w:hAnsi="Arial" w:cs="Arial"/>
          <w:b/>
          <w:bCs/>
          <w:sz w:val="28"/>
          <w:szCs w:val="28"/>
        </w:rPr>
        <w:t xml:space="preserve"> INEOS</w:t>
      </w:r>
      <w:r w:rsidRPr="00B23462">
        <w:rPr>
          <w:rFonts w:ascii="Arial" w:hAnsi="Arial" w:cs="Arial"/>
          <w:b/>
          <w:bCs/>
          <w:sz w:val="28"/>
          <w:szCs w:val="28"/>
        </w:rPr>
        <w:t xml:space="preserve"> FPS Ltd </w:t>
      </w:r>
    </w:p>
    <w:p w:rsidR="00B23462" w:rsidRDefault="00B23462" w:rsidP="00912A81">
      <w:pPr>
        <w:pStyle w:val="NormalWeb"/>
        <w:spacing w:before="0" w:beforeAutospacing="0" w:after="0" w:afterAutospacing="0"/>
        <w:jc w:val="both"/>
        <w:rPr>
          <w:rFonts w:ascii="Arial" w:hAnsi="Arial" w:cs="Arial"/>
          <w:sz w:val="22"/>
          <w:szCs w:val="22"/>
          <w:lang w:val="en"/>
        </w:rPr>
      </w:pPr>
    </w:p>
    <w:p w:rsidR="00B23462" w:rsidRDefault="00B23462" w:rsidP="00912A81">
      <w:pPr>
        <w:pStyle w:val="NormalWeb"/>
        <w:spacing w:before="0" w:beforeAutospacing="0" w:after="0" w:afterAutospacing="0"/>
        <w:jc w:val="both"/>
        <w:rPr>
          <w:rFonts w:ascii="Arial" w:hAnsi="Arial" w:cs="Arial"/>
          <w:sz w:val="22"/>
          <w:szCs w:val="22"/>
          <w:lang w:val="en"/>
        </w:rPr>
      </w:pPr>
    </w:p>
    <w:p w:rsidR="00285F54" w:rsidRPr="00285F54" w:rsidRDefault="00912A81" w:rsidP="00912A81">
      <w:pPr>
        <w:pStyle w:val="NormalWeb"/>
        <w:spacing w:before="0" w:beforeAutospacing="0" w:after="0" w:afterAutospacing="0"/>
        <w:jc w:val="both"/>
        <w:rPr>
          <w:rFonts w:ascii="Arial" w:hAnsi="Arial" w:cs="Arial"/>
          <w:sz w:val="22"/>
          <w:szCs w:val="22"/>
          <w:lang w:val="en"/>
        </w:rPr>
      </w:pPr>
      <w:r w:rsidRPr="00285F54">
        <w:rPr>
          <w:rFonts w:ascii="Arial" w:hAnsi="Arial" w:cs="Arial"/>
          <w:sz w:val="22"/>
          <w:szCs w:val="22"/>
          <w:lang w:val="en"/>
        </w:rPr>
        <w:t xml:space="preserve">The Forties Pipeline System (FPS) is an integrated oil and gas liquid transportation and processing system serving the central area of the North Sea. It is owned and operated by INEOS and utilises more than 500 miles of pipeline to smoothly transport crude oil and gas from more than 80 offshore fields for processing at the Kinneil Terminal where the oil and gas </w:t>
      </w:r>
      <w:r w:rsidR="002A3DC5">
        <w:rPr>
          <w:rFonts w:ascii="Arial" w:hAnsi="Arial" w:cs="Arial"/>
          <w:sz w:val="22"/>
          <w:szCs w:val="22"/>
          <w:lang w:val="en"/>
        </w:rPr>
        <w:t>transported is</w:t>
      </w:r>
      <w:r w:rsidRPr="00285F54">
        <w:rPr>
          <w:rFonts w:ascii="Arial" w:hAnsi="Arial" w:cs="Arial"/>
          <w:sz w:val="22"/>
          <w:szCs w:val="22"/>
          <w:lang w:val="en"/>
        </w:rPr>
        <w:t xml:space="preserve"> separated. </w:t>
      </w:r>
    </w:p>
    <w:p w:rsidR="00285F54" w:rsidRPr="00285F54" w:rsidRDefault="00285F54" w:rsidP="00912A81">
      <w:pPr>
        <w:pStyle w:val="NormalWeb"/>
        <w:spacing w:before="0" w:beforeAutospacing="0" w:after="0" w:afterAutospacing="0"/>
        <w:jc w:val="both"/>
        <w:rPr>
          <w:rFonts w:ascii="Arial" w:hAnsi="Arial" w:cs="Arial"/>
          <w:sz w:val="22"/>
          <w:szCs w:val="22"/>
          <w:lang w:val="en"/>
        </w:rPr>
      </w:pPr>
    </w:p>
    <w:p w:rsidR="00912A81" w:rsidRPr="00285F54" w:rsidRDefault="00912A81" w:rsidP="00912A81">
      <w:pPr>
        <w:pStyle w:val="NormalWeb"/>
        <w:spacing w:before="0" w:beforeAutospacing="0" w:after="0" w:afterAutospacing="0"/>
        <w:jc w:val="both"/>
        <w:rPr>
          <w:rFonts w:ascii="Arial" w:hAnsi="Arial" w:cs="Arial"/>
          <w:sz w:val="22"/>
          <w:szCs w:val="22"/>
          <w:lang w:val="en"/>
        </w:rPr>
      </w:pPr>
      <w:r w:rsidRPr="00285F54">
        <w:rPr>
          <w:rFonts w:ascii="Arial" w:hAnsi="Arial" w:cs="Arial"/>
          <w:sz w:val="22"/>
          <w:szCs w:val="22"/>
          <w:lang w:val="en"/>
        </w:rPr>
        <w:t xml:space="preserve">The oil </w:t>
      </w:r>
      <w:proofErr w:type="gramStart"/>
      <w:r w:rsidRPr="00285F54">
        <w:rPr>
          <w:rFonts w:ascii="Arial" w:hAnsi="Arial" w:cs="Arial"/>
          <w:sz w:val="22"/>
          <w:szCs w:val="22"/>
          <w:lang w:val="en"/>
        </w:rPr>
        <w:t>is returned</w:t>
      </w:r>
      <w:proofErr w:type="gramEnd"/>
      <w:r w:rsidRPr="00285F54">
        <w:rPr>
          <w:rFonts w:ascii="Arial" w:hAnsi="Arial" w:cs="Arial"/>
          <w:sz w:val="22"/>
          <w:szCs w:val="22"/>
          <w:lang w:val="en"/>
        </w:rPr>
        <w:t xml:space="preserve"> as Forties Blend to customers or</w:t>
      </w:r>
      <w:r w:rsidR="00285F54" w:rsidRPr="00285F54">
        <w:rPr>
          <w:rFonts w:ascii="Arial" w:hAnsi="Arial" w:cs="Arial"/>
          <w:sz w:val="22"/>
          <w:szCs w:val="22"/>
          <w:lang w:val="en"/>
        </w:rPr>
        <w:t xml:space="preserve"> </w:t>
      </w:r>
      <w:r w:rsidR="00F77F6E">
        <w:rPr>
          <w:rFonts w:ascii="Arial" w:hAnsi="Arial" w:cs="Arial"/>
          <w:sz w:val="22"/>
          <w:szCs w:val="22"/>
          <w:lang w:val="en"/>
        </w:rPr>
        <w:t>can be routed</w:t>
      </w:r>
      <w:r w:rsidR="00285F54" w:rsidRPr="00285F54">
        <w:rPr>
          <w:rFonts w:ascii="Arial" w:hAnsi="Arial" w:cs="Arial"/>
          <w:sz w:val="22"/>
          <w:szCs w:val="22"/>
          <w:lang w:val="en"/>
        </w:rPr>
        <w:t xml:space="preserve"> directly</w:t>
      </w:r>
      <w:r w:rsidRPr="00285F54">
        <w:rPr>
          <w:rFonts w:ascii="Arial" w:hAnsi="Arial" w:cs="Arial"/>
          <w:sz w:val="22"/>
          <w:szCs w:val="22"/>
          <w:lang w:val="en"/>
        </w:rPr>
        <w:t xml:space="preserve"> to the</w:t>
      </w:r>
      <w:r w:rsidR="00F77F6E">
        <w:rPr>
          <w:rFonts w:ascii="Arial" w:hAnsi="Arial" w:cs="Arial"/>
          <w:sz w:val="22"/>
          <w:szCs w:val="22"/>
          <w:lang w:val="en"/>
        </w:rPr>
        <w:t xml:space="preserve"> Grangemouth</w:t>
      </w:r>
      <w:r w:rsidRPr="00285F54">
        <w:rPr>
          <w:rFonts w:ascii="Arial" w:hAnsi="Arial" w:cs="Arial"/>
          <w:sz w:val="22"/>
          <w:szCs w:val="22"/>
          <w:lang w:val="en"/>
        </w:rPr>
        <w:t xml:space="preserve"> </w:t>
      </w:r>
      <w:r w:rsidR="00285F54" w:rsidRPr="00285F54">
        <w:rPr>
          <w:rFonts w:ascii="Arial" w:hAnsi="Arial" w:cs="Arial"/>
          <w:sz w:val="22"/>
          <w:szCs w:val="22"/>
          <w:lang w:val="en"/>
        </w:rPr>
        <w:t>r</w:t>
      </w:r>
      <w:r w:rsidRPr="00285F54">
        <w:rPr>
          <w:rFonts w:ascii="Arial" w:hAnsi="Arial" w:cs="Arial"/>
          <w:sz w:val="22"/>
          <w:szCs w:val="22"/>
          <w:lang w:val="en"/>
        </w:rPr>
        <w:t xml:space="preserve">efinery. </w:t>
      </w:r>
      <w:r w:rsidR="00F77F6E">
        <w:rPr>
          <w:rFonts w:ascii="Arial" w:hAnsi="Arial" w:cs="Arial"/>
          <w:sz w:val="22"/>
          <w:szCs w:val="22"/>
          <w:lang w:val="en"/>
        </w:rPr>
        <w:t>The separated</w:t>
      </w:r>
      <w:r w:rsidRPr="00285F54">
        <w:rPr>
          <w:rFonts w:ascii="Arial" w:hAnsi="Arial" w:cs="Arial"/>
          <w:sz w:val="22"/>
          <w:szCs w:val="22"/>
          <w:lang w:val="en"/>
        </w:rPr>
        <w:t xml:space="preserve"> gas </w:t>
      </w:r>
      <w:proofErr w:type="gramStart"/>
      <w:r w:rsidRPr="00285F54">
        <w:rPr>
          <w:rFonts w:ascii="Arial" w:hAnsi="Arial" w:cs="Arial"/>
          <w:sz w:val="22"/>
          <w:szCs w:val="22"/>
          <w:lang w:val="en"/>
        </w:rPr>
        <w:t xml:space="preserve">is </w:t>
      </w:r>
      <w:r w:rsidR="008F297A">
        <w:rPr>
          <w:rFonts w:ascii="Arial" w:hAnsi="Arial" w:cs="Arial"/>
          <w:sz w:val="22"/>
          <w:szCs w:val="22"/>
          <w:lang w:val="en"/>
        </w:rPr>
        <w:t>either</w:t>
      </w:r>
      <w:proofErr w:type="gramEnd"/>
      <w:r w:rsidR="008F297A">
        <w:rPr>
          <w:rFonts w:ascii="Arial" w:hAnsi="Arial" w:cs="Arial"/>
          <w:sz w:val="22"/>
          <w:szCs w:val="22"/>
          <w:lang w:val="en"/>
        </w:rPr>
        <w:t xml:space="preserve"> </w:t>
      </w:r>
      <w:r w:rsidRPr="00285F54">
        <w:rPr>
          <w:rFonts w:ascii="Arial" w:hAnsi="Arial" w:cs="Arial"/>
          <w:sz w:val="22"/>
          <w:szCs w:val="22"/>
          <w:lang w:val="en"/>
        </w:rPr>
        <w:t xml:space="preserve">delivered to our LPG export facilities or </w:t>
      </w:r>
      <w:r w:rsidR="00F77F6E">
        <w:rPr>
          <w:rFonts w:ascii="Arial" w:hAnsi="Arial" w:cs="Arial"/>
          <w:sz w:val="22"/>
          <w:szCs w:val="22"/>
          <w:lang w:val="en"/>
        </w:rPr>
        <w:t xml:space="preserve">can be </w:t>
      </w:r>
      <w:r w:rsidRPr="00285F54">
        <w:rPr>
          <w:rFonts w:ascii="Arial" w:hAnsi="Arial" w:cs="Arial"/>
          <w:sz w:val="22"/>
          <w:szCs w:val="22"/>
          <w:lang w:val="en"/>
        </w:rPr>
        <w:t>supplied to the</w:t>
      </w:r>
      <w:r w:rsidR="00F77F6E">
        <w:rPr>
          <w:rFonts w:ascii="Arial" w:hAnsi="Arial" w:cs="Arial"/>
          <w:sz w:val="22"/>
          <w:szCs w:val="22"/>
          <w:lang w:val="en"/>
        </w:rPr>
        <w:t xml:space="preserve"> </w:t>
      </w:r>
      <w:r w:rsidR="008F297A">
        <w:rPr>
          <w:rFonts w:ascii="Arial" w:hAnsi="Arial" w:cs="Arial"/>
          <w:sz w:val="22"/>
          <w:szCs w:val="22"/>
          <w:lang w:val="en"/>
        </w:rPr>
        <w:t>p</w:t>
      </w:r>
      <w:r w:rsidR="00F77F6E">
        <w:rPr>
          <w:rFonts w:ascii="Arial" w:hAnsi="Arial" w:cs="Arial"/>
          <w:sz w:val="22"/>
          <w:szCs w:val="22"/>
          <w:lang w:val="en"/>
        </w:rPr>
        <w:t xml:space="preserve">etrochemicals processing facilities </w:t>
      </w:r>
      <w:r w:rsidRPr="00285F54">
        <w:rPr>
          <w:rFonts w:ascii="Arial" w:hAnsi="Arial" w:cs="Arial"/>
          <w:sz w:val="22"/>
          <w:szCs w:val="22"/>
          <w:lang w:val="en"/>
        </w:rPr>
        <w:t>at Grangemouth.</w:t>
      </w:r>
    </w:p>
    <w:p w:rsidR="00912A81" w:rsidRPr="00285F54" w:rsidRDefault="00912A81" w:rsidP="00912A81">
      <w:pPr>
        <w:pStyle w:val="Default"/>
        <w:rPr>
          <w:rFonts w:ascii="Arial" w:hAnsi="Arial" w:cs="Arial"/>
          <w:sz w:val="22"/>
          <w:szCs w:val="22"/>
        </w:rPr>
      </w:pPr>
    </w:p>
    <w:p w:rsidR="00912A81" w:rsidRPr="00285F54" w:rsidRDefault="00912A81" w:rsidP="00912A81">
      <w:pPr>
        <w:pStyle w:val="Default"/>
        <w:rPr>
          <w:rFonts w:ascii="Arial" w:hAnsi="Arial" w:cs="Arial"/>
          <w:sz w:val="22"/>
          <w:szCs w:val="22"/>
        </w:rPr>
      </w:pPr>
      <w:r w:rsidRPr="00285F54">
        <w:rPr>
          <w:rFonts w:ascii="Arial" w:hAnsi="Arial" w:cs="Arial"/>
          <w:sz w:val="22"/>
          <w:szCs w:val="22"/>
        </w:rPr>
        <w:t xml:space="preserve">We aim to establish and maintain a working environment where all employees are treated fairly and equally, ensuring equal opportunities for all. We value our employees and appreciate the benefits of having an inclusive and diverse workforce. </w:t>
      </w:r>
    </w:p>
    <w:p w:rsidR="00912A81" w:rsidRPr="00285F54" w:rsidRDefault="00912A81" w:rsidP="00912A81">
      <w:pPr>
        <w:pStyle w:val="Default"/>
        <w:rPr>
          <w:rFonts w:ascii="Arial" w:hAnsi="Arial" w:cs="Arial"/>
          <w:sz w:val="22"/>
          <w:szCs w:val="22"/>
        </w:rPr>
      </w:pPr>
    </w:p>
    <w:p w:rsidR="00285F54" w:rsidRDefault="00285F54" w:rsidP="00912A81">
      <w:pPr>
        <w:pStyle w:val="Default"/>
        <w:rPr>
          <w:sz w:val="22"/>
          <w:szCs w:val="22"/>
        </w:rPr>
      </w:pPr>
    </w:p>
    <w:tbl>
      <w:tblPr>
        <w:tblW w:w="10028" w:type="dxa"/>
        <w:tblInd w:w="-113" w:type="dxa"/>
        <w:tblLook w:val="04A0" w:firstRow="1" w:lastRow="0" w:firstColumn="1" w:lastColumn="0" w:noHBand="0" w:noVBand="1"/>
      </w:tblPr>
      <w:tblGrid>
        <w:gridCol w:w="108"/>
        <w:gridCol w:w="2280"/>
        <w:gridCol w:w="2008"/>
        <w:gridCol w:w="4396"/>
        <w:gridCol w:w="1236"/>
      </w:tblGrid>
      <w:tr w:rsidR="00285F54" w:rsidRPr="00285F54" w:rsidTr="00285F54">
        <w:trPr>
          <w:gridBefore w:val="1"/>
          <w:wBefore w:w="108" w:type="dxa"/>
          <w:trHeight w:val="639"/>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Mean gender pay gap</w:t>
            </w:r>
          </w:p>
        </w:tc>
        <w:tc>
          <w:tcPr>
            <w:tcW w:w="7640" w:type="dxa"/>
            <w:gridSpan w:val="3"/>
            <w:tcBorders>
              <w:top w:val="single" w:sz="4" w:space="0" w:color="auto"/>
              <w:left w:val="nil"/>
              <w:bottom w:val="single" w:sz="4" w:space="0" w:color="auto"/>
              <w:right w:val="single" w:sz="4" w:space="0" w:color="auto"/>
            </w:tcBorders>
            <w:shd w:val="clear" w:color="auto" w:fill="auto"/>
            <w:vAlign w:val="center"/>
            <w:hideMark/>
          </w:tcPr>
          <w:p w:rsidR="00285F54" w:rsidRPr="00285F54" w:rsidRDefault="00285F54" w:rsidP="00285F54">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difference between the mean hourly rate of pay of male full-pay relevant employees and that of female full-pay relevant employees</w:t>
            </w:r>
          </w:p>
        </w:tc>
      </w:tr>
      <w:tr w:rsidR="00285F54" w:rsidRPr="00285F54" w:rsidTr="00285F54">
        <w:trPr>
          <w:gridBefore w:val="1"/>
          <w:wBefore w:w="108" w:type="dxa"/>
          <w:trHeight w:val="63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Median gender pay gap</w:t>
            </w:r>
          </w:p>
        </w:tc>
        <w:tc>
          <w:tcPr>
            <w:tcW w:w="7640" w:type="dxa"/>
            <w:gridSpan w:val="3"/>
            <w:tcBorders>
              <w:top w:val="nil"/>
              <w:left w:val="nil"/>
              <w:bottom w:val="single" w:sz="4" w:space="0" w:color="auto"/>
              <w:right w:val="single" w:sz="4" w:space="0" w:color="auto"/>
            </w:tcBorders>
            <w:shd w:val="clear" w:color="auto" w:fill="auto"/>
            <w:vAlign w:val="center"/>
            <w:hideMark/>
          </w:tcPr>
          <w:p w:rsidR="00285F54" w:rsidRPr="00285F54" w:rsidRDefault="00285F54" w:rsidP="00285F54">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difference between the median hourly rate of pay of male full-pay relevant employees and that of female full-pay relevant employees</w:t>
            </w:r>
          </w:p>
        </w:tc>
      </w:tr>
      <w:tr w:rsidR="00285F54" w:rsidRPr="00285F54" w:rsidTr="00285F54">
        <w:trPr>
          <w:gridBefore w:val="1"/>
          <w:wBefore w:w="108" w:type="dxa"/>
          <w:trHeight w:val="63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Mean bonus gap</w:t>
            </w:r>
          </w:p>
        </w:tc>
        <w:tc>
          <w:tcPr>
            <w:tcW w:w="7640" w:type="dxa"/>
            <w:gridSpan w:val="3"/>
            <w:tcBorders>
              <w:top w:val="nil"/>
              <w:left w:val="nil"/>
              <w:bottom w:val="single" w:sz="4" w:space="0" w:color="auto"/>
              <w:right w:val="single" w:sz="4" w:space="0" w:color="auto"/>
            </w:tcBorders>
            <w:shd w:val="clear" w:color="auto" w:fill="auto"/>
            <w:vAlign w:val="center"/>
            <w:hideMark/>
          </w:tcPr>
          <w:p w:rsidR="00285F54" w:rsidRPr="00285F54" w:rsidRDefault="00285F54" w:rsidP="00285F54">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difference between the mean bonus pay paid to male relevant employees and that paid to female relevant employees</w:t>
            </w:r>
          </w:p>
        </w:tc>
      </w:tr>
      <w:tr w:rsidR="00285F54" w:rsidRPr="00285F54" w:rsidTr="00285F54">
        <w:trPr>
          <w:gridBefore w:val="1"/>
          <w:wBefore w:w="108" w:type="dxa"/>
          <w:trHeight w:val="63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Median bonus gap</w:t>
            </w:r>
          </w:p>
        </w:tc>
        <w:tc>
          <w:tcPr>
            <w:tcW w:w="7640" w:type="dxa"/>
            <w:gridSpan w:val="3"/>
            <w:tcBorders>
              <w:top w:val="nil"/>
              <w:left w:val="nil"/>
              <w:bottom w:val="single" w:sz="4" w:space="0" w:color="auto"/>
              <w:right w:val="single" w:sz="4" w:space="0" w:color="auto"/>
            </w:tcBorders>
            <w:shd w:val="clear" w:color="auto" w:fill="auto"/>
            <w:vAlign w:val="center"/>
            <w:hideMark/>
          </w:tcPr>
          <w:p w:rsidR="00285F54" w:rsidRPr="00285F54" w:rsidRDefault="00285F54" w:rsidP="00EF100B">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difference between the median bonus pay paid to male relevant employees and that paid to female relevant employees</w:t>
            </w:r>
          </w:p>
        </w:tc>
      </w:tr>
      <w:tr w:rsidR="00285F54" w:rsidRPr="00285F54" w:rsidTr="00285F54">
        <w:trPr>
          <w:gridBefore w:val="1"/>
          <w:wBefore w:w="108" w:type="dxa"/>
          <w:trHeight w:val="63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Bonus proportions</w:t>
            </w:r>
          </w:p>
        </w:tc>
        <w:tc>
          <w:tcPr>
            <w:tcW w:w="7640" w:type="dxa"/>
            <w:gridSpan w:val="3"/>
            <w:tcBorders>
              <w:top w:val="nil"/>
              <w:left w:val="nil"/>
              <w:bottom w:val="single" w:sz="4" w:space="0" w:color="auto"/>
              <w:right w:val="single" w:sz="4" w:space="0" w:color="auto"/>
            </w:tcBorders>
            <w:shd w:val="clear" w:color="auto" w:fill="auto"/>
            <w:vAlign w:val="center"/>
            <w:hideMark/>
          </w:tcPr>
          <w:p w:rsidR="00285F54" w:rsidRPr="00285F54" w:rsidRDefault="00285F54" w:rsidP="00285F54">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proportions of male and female relevant employees who were paid bonus pay during the relevant period</w:t>
            </w:r>
          </w:p>
        </w:tc>
      </w:tr>
      <w:tr w:rsidR="00285F54" w:rsidRPr="00285F54" w:rsidTr="00285F54">
        <w:trPr>
          <w:gridBefore w:val="1"/>
          <w:wBefore w:w="108" w:type="dxa"/>
          <w:trHeight w:val="639"/>
        </w:trPr>
        <w:tc>
          <w:tcPr>
            <w:tcW w:w="2280" w:type="dxa"/>
            <w:tcBorders>
              <w:top w:val="nil"/>
              <w:left w:val="single" w:sz="4" w:space="0" w:color="auto"/>
              <w:bottom w:val="single" w:sz="4" w:space="0" w:color="auto"/>
              <w:right w:val="single" w:sz="4" w:space="0" w:color="auto"/>
            </w:tcBorders>
            <w:shd w:val="clear" w:color="auto" w:fill="auto"/>
            <w:noWrap/>
            <w:vAlign w:val="center"/>
            <w:hideMark/>
          </w:tcPr>
          <w:p w:rsidR="00285F54" w:rsidRPr="00285F54" w:rsidRDefault="00285F54" w:rsidP="00285F54">
            <w:pPr>
              <w:spacing w:after="0" w:line="240" w:lineRule="auto"/>
              <w:rPr>
                <w:rFonts w:ascii="Arial" w:eastAsia="Times New Roman" w:hAnsi="Arial" w:cs="Arial"/>
                <w:b/>
                <w:bCs/>
                <w:color w:val="000000"/>
                <w:lang w:eastAsia="en-GB"/>
              </w:rPr>
            </w:pPr>
            <w:r w:rsidRPr="00285F54">
              <w:rPr>
                <w:rFonts w:ascii="Arial" w:eastAsia="Times New Roman" w:hAnsi="Arial" w:cs="Arial"/>
                <w:b/>
                <w:bCs/>
                <w:color w:val="000000"/>
                <w:lang w:eastAsia="en-GB"/>
              </w:rPr>
              <w:t>Quartile pay bands</w:t>
            </w:r>
          </w:p>
        </w:tc>
        <w:tc>
          <w:tcPr>
            <w:tcW w:w="7640" w:type="dxa"/>
            <w:gridSpan w:val="3"/>
            <w:tcBorders>
              <w:top w:val="nil"/>
              <w:left w:val="nil"/>
              <w:bottom w:val="single" w:sz="4" w:space="0" w:color="auto"/>
              <w:right w:val="single" w:sz="4" w:space="0" w:color="auto"/>
            </w:tcBorders>
            <w:shd w:val="clear" w:color="auto" w:fill="auto"/>
            <w:vAlign w:val="center"/>
            <w:hideMark/>
          </w:tcPr>
          <w:p w:rsidR="00285F54" w:rsidRPr="00285F54" w:rsidRDefault="00285F54" w:rsidP="00285F54">
            <w:pPr>
              <w:spacing w:after="0" w:line="240" w:lineRule="auto"/>
              <w:rPr>
                <w:rFonts w:ascii="Arial" w:eastAsia="Times New Roman" w:hAnsi="Arial" w:cs="Arial"/>
                <w:color w:val="000000"/>
                <w:lang w:eastAsia="en-GB"/>
              </w:rPr>
            </w:pPr>
            <w:r w:rsidRPr="00285F54">
              <w:rPr>
                <w:rFonts w:ascii="Arial" w:eastAsia="Times New Roman" w:hAnsi="Arial" w:cs="Arial"/>
                <w:color w:val="000000"/>
                <w:lang w:eastAsia="en-GB"/>
              </w:rPr>
              <w:t>The proportions of male and female full-pay relevant</w:t>
            </w:r>
          </w:p>
        </w:tc>
      </w:tr>
      <w:tr w:rsidR="00EF100B" w:rsidTr="00285F54">
        <w:tblPrEx>
          <w:tblBorders>
            <w:top w:val="nil"/>
            <w:left w:val="nil"/>
            <w:bottom w:val="nil"/>
            <w:right w:val="nil"/>
          </w:tblBorders>
          <w:tblLook w:val="0000" w:firstRow="0" w:lastRow="0" w:firstColumn="0" w:lastColumn="0" w:noHBand="0" w:noVBand="0"/>
        </w:tblPrEx>
        <w:trPr>
          <w:gridAfter w:val="1"/>
          <w:wAfter w:w="1236" w:type="dxa"/>
          <w:trHeight w:val="177"/>
        </w:trPr>
        <w:tc>
          <w:tcPr>
            <w:tcW w:w="4396" w:type="dxa"/>
            <w:gridSpan w:val="3"/>
          </w:tcPr>
          <w:p w:rsidR="00912A81" w:rsidRDefault="00912A81">
            <w:pPr>
              <w:pStyle w:val="Default"/>
              <w:rPr>
                <w:sz w:val="20"/>
                <w:szCs w:val="20"/>
              </w:rPr>
            </w:pPr>
          </w:p>
        </w:tc>
        <w:tc>
          <w:tcPr>
            <w:tcW w:w="4396" w:type="dxa"/>
          </w:tcPr>
          <w:p w:rsidR="00912A81" w:rsidRDefault="00912A81">
            <w:pPr>
              <w:pStyle w:val="Default"/>
              <w:rPr>
                <w:sz w:val="16"/>
                <w:szCs w:val="16"/>
              </w:rPr>
            </w:pPr>
          </w:p>
        </w:tc>
      </w:tr>
      <w:tr w:rsidR="00EF100B" w:rsidTr="00285F54">
        <w:tblPrEx>
          <w:tblBorders>
            <w:top w:val="nil"/>
            <w:left w:val="nil"/>
            <w:bottom w:val="nil"/>
            <w:right w:val="nil"/>
          </w:tblBorders>
          <w:tblLook w:val="0000" w:firstRow="0" w:lastRow="0" w:firstColumn="0" w:lastColumn="0" w:noHBand="0" w:noVBand="0"/>
        </w:tblPrEx>
        <w:trPr>
          <w:gridAfter w:val="1"/>
          <w:wAfter w:w="1236" w:type="dxa"/>
          <w:trHeight w:val="177"/>
        </w:trPr>
        <w:tc>
          <w:tcPr>
            <w:tcW w:w="4396" w:type="dxa"/>
            <w:gridSpan w:val="3"/>
          </w:tcPr>
          <w:p w:rsidR="00912A81" w:rsidRDefault="00912A81">
            <w:pPr>
              <w:pStyle w:val="Default"/>
              <w:rPr>
                <w:sz w:val="20"/>
                <w:szCs w:val="20"/>
              </w:rPr>
            </w:pPr>
          </w:p>
        </w:tc>
        <w:tc>
          <w:tcPr>
            <w:tcW w:w="4396" w:type="dxa"/>
          </w:tcPr>
          <w:p w:rsidR="00912A81" w:rsidRDefault="00912A81">
            <w:pPr>
              <w:pStyle w:val="Default"/>
              <w:rPr>
                <w:sz w:val="16"/>
                <w:szCs w:val="16"/>
              </w:rPr>
            </w:pPr>
          </w:p>
        </w:tc>
      </w:tr>
    </w:tbl>
    <w:p w:rsidR="000E7DBA" w:rsidRPr="00350E79" w:rsidRDefault="000E7DBA" w:rsidP="000E7DBA">
      <w:pPr>
        <w:pStyle w:val="Default"/>
        <w:rPr>
          <w:rFonts w:ascii="Arial" w:hAnsi="Arial" w:cs="Arial"/>
          <w:sz w:val="22"/>
          <w:szCs w:val="22"/>
        </w:rPr>
      </w:pPr>
      <w:r w:rsidRPr="00350E79">
        <w:rPr>
          <w:rFonts w:ascii="Arial" w:hAnsi="Arial" w:cs="Arial"/>
          <w:sz w:val="22"/>
          <w:szCs w:val="22"/>
        </w:rPr>
        <w:t xml:space="preserve">This report </w:t>
      </w:r>
      <w:proofErr w:type="gramStart"/>
      <w:r w:rsidRPr="00350E79">
        <w:rPr>
          <w:rFonts w:ascii="Arial" w:hAnsi="Arial" w:cs="Arial"/>
          <w:sz w:val="22"/>
          <w:szCs w:val="22"/>
        </w:rPr>
        <w:t xml:space="preserve">is </w:t>
      </w:r>
      <w:r w:rsidR="00DF5616">
        <w:rPr>
          <w:rFonts w:ascii="Arial" w:hAnsi="Arial" w:cs="Arial"/>
          <w:sz w:val="22"/>
          <w:szCs w:val="22"/>
        </w:rPr>
        <w:t>based</w:t>
      </w:r>
      <w:proofErr w:type="gramEnd"/>
      <w:r w:rsidR="00DF5616">
        <w:rPr>
          <w:rFonts w:ascii="Arial" w:hAnsi="Arial" w:cs="Arial"/>
          <w:sz w:val="22"/>
          <w:szCs w:val="22"/>
        </w:rPr>
        <w:t xml:space="preserve"> on data as at</w:t>
      </w:r>
      <w:r w:rsidR="00985E34">
        <w:rPr>
          <w:rFonts w:ascii="Arial" w:hAnsi="Arial" w:cs="Arial"/>
          <w:sz w:val="22"/>
          <w:szCs w:val="22"/>
        </w:rPr>
        <w:t xml:space="preserve"> April 2024</w:t>
      </w:r>
      <w:r w:rsidRPr="00350E79">
        <w:rPr>
          <w:rFonts w:ascii="Arial" w:hAnsi="Arial" w:cs="Arial"/>
          <w:sz w:val="22"/>
          <w:szCs w:val="22"/>
        </w:rPr>
        <w:t xml:space="preserve">, looking at hourly pay as defined in the regulations. This includes base </w:t>
      </w:r>
      <w:proofErr w:type="gramStart"/>
      <w:r w:rsidRPr="00350E79">
        <w:rPr>
          <w:rFonts w:ascii="Arial" w:hAnsi="Arial" w:cs="Arial"/>
          <w:sz w:val="22"/>
          <w:szCs w:val="22"/>
        </w:rPr>
        <w:t>pay and allowances</w:t>
      </w:r>
      <w:proofErr w:type="gramEnd"/>
      <w:r w:rsidRPr="00350E79">
        <w:rPr>
          <w:rFonts w:ascii="Arial" w:hAnsi="Arial" w:cs="Arial"/>
          <w:sz w:val="22"/>
          <w:szCs w:val="22"/>
        </w:rPr>
        <w:t xml:space="preserve"> and any bonuses paid in the 12 </w:t>
      </w:r>
      <w:r w:rsidR="00985E34">
        <w:rPr>
          <w:rFonts w:ascii="Arial" w:hAnsi="Arial" w:cs="Arial"/>
          <w:sz w:val="22"/>
          <w:szCs w:val="22"/>
        </w:rPr>
        <w:t>months ending the 5th April 2024</w:t>
      </w:r>
      <w:r w:rsidRPr="00350E79">
        <w:rPr>
          <w:rFonts w:ascii="Arial" w:hAnsi="Arial" w:cs="Arial"/>
          <w:sz w:val="22"/>
          <w:szCs w:val="22"/>
        </w:rPr>
        <w:t xml:space="preserve">. </w:t>
      </w:r>
    </w:p>
    <w:p w:rsidR="000E7DBA" w:rsidRDefault="000E7DBA" w:rsidP="000E7DBA">
      <w:pPr>
        <w:pStyle w:val="Default"/>
        <w:rPr>
          <w:sz w:val="20"/>
          <w:szCs w:val="20"/>
        </w:rPr>
      </w:pPr>
    </w:p>
    <w:p w:rsidR="00601C9D" w:rsidRPr="000E7DBA" w:rsidRDefault="00601C9D" w:rsidP="000E7DBA">
      <w:pPr>
        <w:pStyle w:val="Default"/>
        <w:rPr>
          <w:sz w:val="20"/>
          <w:szCs w:val="20"/>
        </w:rPr>
      </w:pPr>
    </w:p>
    <w:p w:rsidR="007402ED" w:rsidRPr="00767020" w:rsidRDefault="000E7DBA">
      <w:pPr>
        <w:rPr>
          <w:rFonts w:ascii="Arial" w:hAnsi="Arial" w:cs="Arial"/>
          <w:b/>
          <w:bCs/>
          <w:sz w:val="28"/>
          <w:szCs w:val="28"/>
        </w:rPr>
      </w:pPr>
      <w:r w:rsidRPr="00767020">
        <w:rPr>
          <w:rFonts w:ascii="Arial" w:hAnsi="Arial" w:cs="Arial"/>
          <w:b/>
          <w:bCs/>
          <w:sz w:val="28"/>
          <w:szCs w:val="28"/>
        </w:rPr>
        <w:t>Demographics</w:t>
      </w:r>
    </w:p>
    <w:p w:rsidR="000E7DBA" w:rsidRDefault="000E7DBA" w:rsidP="000E7DBA">
      <w:pPr>
        <w:ind w:left="3600"/>
        <w:rPr>
          <w:b/>
          <w:bCs/>
          <w:sz w:val="20"/>
          <w:szCs w:val="20"/>
        </w:rPr>
      </w:pPr>
      <w:r>
        <w:rPr>
          <w:b/>
          <w:bCs/>
          <w:sz w:val="20"/>
          <w:szCs w:val="20"/>
        </w:rPr>
        <w:t xml:space="preserve">     </w:t>
      </w:r>
      <w:proofErr w:type="gramStart"/>
      <w:r w:rsidR="00985E34">
        <w:rPr>
          <w:b/>
          <w:bCs/>
          <w:sz w:val="20"/>
          <w:szCs w:val="20"/>
        </w:rPr>
        <w:t>475</w:t>
      </w:r>
      <w:proofErr w:type="gramEnd"/>
      <w:r>
        <w:rPr>
          <w:b/>
          <w:bCs/>
          <w:sz w:val="20"/>
          <w:szCs w:val="20"/>
        </w:rPr>
        <w:t xml:space="preserve"> Employees</w:t>
      </w:r>
    </w:p>
    <w:p w:rsidR="000E7DBA" w:rsidRDefault="000E7DBA" w:rsidP="000E7DBA">
      <w:pPr>
        <w:jc w:val="center"/>
      </w:pPr>
      <w:r w:rsidRPr="000E7DBA">
        <w:rPr>
          <w:noProof/>
          <w:lang w:eastAsia="en-GB"/>
        </w:rPr>
        <w:drawing>
          <wp:inline distT="0" distB="0" distL="0" distR="0">
            <wp:extent cx="89916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rsidR="000E7DBA" w:rsidRDefault="000E7DBA" w:rsidP="000E7DBA">
      <w:pPr>
        <w:jc w:val="center"/>
        <w:rPr>
          <w:b/>
        </w:rPr>
      </w:pPr>
      <w:r w:rsidRPr="000E7DBA">
        <w:rPr>
          <w:b/>
        </w:rPr>
        <w:t xml:space="preserve">    </w:t>
      </w:r>
      <w:r w:rsidR="00985E34">
        <w:rPr>
          <w:b/>
        </w:rPr>
        <w:t>77</w:t>
      </w:r>
      <w:r w:rsidRPr="000E7DBA">
        <w:rPr>
          <w:b/>
        </w:rPr>
        <w:t xml:space="preserve"> (</w:t>
      </w:r>
      <w:r w:rsidR="00985E34">
        <w:rPr>
          <w:b/>
        </w:rPr>
        <w:t>16.2</w:t>
      </w:r>
      <w:r w:rsidRPr="000E7DBA">
        <w:rPr>
          <w:b/>
        </w:rPr>
        <w:t xml:space="preserve">%)           </w:t>
      </w:r>
      <w:r w:rsidR="00985E34">
        <w:rPr>
          <w:b/>
        </w:rPr>
        <w:t>398 (83.8</w:t>
      </w:r>
      <w:r w:rsidRPr="000E7DBA">
        <w:rPr>
          <w:b/>
        </w:rPr>
        <w:t>%)</w:t>
      </w:r>
    </w:p>
    <w:p w:rsidR="00EF100B" w:rsidRPr="00122B6C" w:rsidRDefault="00F943A2" w:rsidP="00122B6C">
      <w:r>
        <w:rPr>
          <w:rFonts w:ascii="Arial" w:hAnsi="Arial" w:cs="Arial"/>
        </w:rPr>
        <w:t>The split of male and female employees is broadly unchanged from the previous year’s report.</w:t>
      </w:r>
      <w:r w:rsidR="00EF100B" w:rsidRPr="00122B6C">
        <w:br w:type="page"/>
      </w:r>
    </w:p>
    <w:p w:rsidR="00EF100B" w:rsidRDefault="00EF100B" w:rsidP="00EF100B">
      <w:pPr>
        <w:pStyle w:val="Default"/>
        <w:rPr>
          <w:b/>
          <w:bCs/>
          <w:sz w:val="28"/>
          <w:szCs w:val="28"/>
        </w:rPr>
      </w:pPr>
    </w:p>
    <w:p w:rsidR="00EF100B" w:rsidRPr="005D72DD" w:rsidRDefault="00EF100B" w:rsidP="00EF100B">
      <w:pPr>
        <w:pStyle w:val="Default"/>
        <w:rPr>
          <w:rFonts w:ascii="Arial" w:hAnsi="Arial" w:cs="Arial"/>
          <w:b/>
          <w:bCs/>
          <w:sz w:val="28"/>
          <w:szCs w:val="28"/>
        </w:rPr>
      </w:pPr>
      <w:r w:rsidRPr="005D72DD">
        <w:rPr>
          <w:rFonts w:ascii="Arial" w:hAnsi="Arial" w:cs="Arial"/>
          <w:b/>
          <w:bCs/>
          <w:sz w:val="28"/>
          <w:szCs w:val="28"/>
        </w:rPr>
        <w:t xml:space="preserve">Pay </w:t>
      </w:r>
    </w:p>
    <w:p w:rsidR="00EF100B" w:rsidRPr="005D72DD" w:rsidRDefault="00EF100B" w:rsidP="00EF100B">
      <w:pPr>
        <w:pStyle w:val="Default"/>
        <w:rPr>
          <w:rFonts w:ascii="Arial" w:hAnsi="Arial" w:cs="Arial"/>
          <w:b/>
          <w:bCs/>
          <w:sz w:val="28"/>
          <w:szCs w:val="28"/>
        </w:rPr>
      </w:pPr>
    </w:p>
    <w:p w:rsidR="00EF100B" w:rsidRPr="005D72DD" w:rsidRDefault="00EF100B" w:rsidP="00EF100B">
      <w:pPr>
        <w:pStyle w:val="Default"/>
        <w:rPr>
          <w:rFonts w:ascii="Arial" w:hAnsi="Arial" w:cs="Arial"/>
          <w:bCs/>
          <w:sz w:val="22"/>
          <w:szCs w:val="22"/>
        </w:rPr>
      </w:pPr>
      <w:r w:rsidRPr="005D72DD">
        <w:rPr>
          <w:rFonts w:ascii="Arial" w:hAnsi="Arial" w:cs="Arial"/>
          <w:bCs/>
          <w:sz w:val="22"/>
          <w:szCs w:val="22"/>
        </w:rPr>
        <w:t>The gender pay gap calculates the difference between average male and female pay within the organisation. It does not compare pay received by men and women</w:t>
      </w:r>
      <w:r w:rsidR="003F2AD1">
        <w:rPr>
          <w:rFonts w:ascii="Arial" w:hAnsi="Arial" w:cs="Arial"/>
          <w:bCs/>
          <w:sz w:val="22"/>
          <w:szCs w:val="22"/>
        </w:rPr>
        <w:t xml:space="preserve"> doing the same or similar work which is referred to</w:t>
      </w:r>
      <w:r w:rsidRPr="005D72DD">
        <w:rPr>
          <w:rFonts w:ascii="Arial" w:hAnsi="Arial" w:cs="Arial"/>
          <w:bCs/>
          <w:sz w:val="22"/>
          <w:szCs w:val="22"/>
        </w:rPr>
        <w:t xml:space="preserve"> as equal pay. </w:t>
      </w:r>
    </w:p>
    <w:p w:rsidR="00EF100B" w:rsidRPr="005D72DD" w:rsidRDefault="00EF100B" w:rsidP="00EF100B">
      <w:pPr>
        <w:pStyle w:val="Default"/>
        <w:rPr>
          <w:rFonts w:ascii="Arial" w:hAnsi="Arial" w:cs="Arial"/>
          <w:bCs/>
          <w:sz w:val="22"/>
          <w:szCs w:val="22"/>
        </w:rPr>
      </w:pPr>
    </w:p>
    <w:p w:rsidR="000E7DBA" w:rsidRPr="005D72DD" w:rsidRDefault="00EF100B" w:rsidP="00EF100B">
      <w:pPr>
        <w:pStyle w:val="Default"/>
        <w:rPr>
          <w:rFonts w:ascii="Arial" w:hAnsi="Arial" w:cs="Arial"/>
          <w:bCs/>
          <w:sz w:val="28"/>
          <w:szCs w:val="28"/>
        </w:rPr>
      </w:pPr>
      <w:r w:rsidRPr="005D72DD">
        <w:rPr>
          <w:rFonts w:ascii="Arial" w:hAnsi="Arial" w:cs="Arial"/>
          <w:bCs/>
          <w:sz w:val="22"/>
          <w:szCs w:val="22"/>
        </w:rPr>
        <w:t>Our technician pay structure and our</w:t>
      </w:r>
      <w:r w:rsidR="00F77F6E">
        <w:rPr>
          <w:rFonts w:ascii="Arial" w:hAnsi="Arial" w:cs="Arial"/>
          <w:bCs/>
          <w:sz w:val="22"/>
          <w:szCs w:val="22"/>
        </w:rPr>
        <w:t xml:space="preserve"> job evaluation process provide</w:t>
      </w:r>
      <w:r w:rsidRPr="005D72DD">
        <w:rPr>
          <w:rFonts w:ascii="Arial" w:hAnsi="Arial" w:cs="Arial"/>
          <w:bCs/>
          <w:sz w:val="22"/>
          <w:szCs w:val="22"/>
        </w:rPr>
        <w:t xml:space="preserve"> us with a stuctured framework with which to evaluate roles and to group employees within appropriate salary ranges providing a non-discriminatory pay system</w:t>
      </w:r>
      <w:r w:rsidRPr="005D72DD">
        <w:rPr>
          <w:rFonts w:ascii="Arial" w:hAnsi="Arial" w:cs="Arial"/>
          <w:bCs/>
          <w:sz w:val="28"/>
          <w:szCs w:val="28"/>
        </w:rPr>
        <w:t>.</w:t>
      </w:r>
    </w:p>
    <w:p w:rsidR="005D72DD" w:rsidRPr="005D72DD" w:rsidRDefault="005D72DD" w:rsidP="00EF100B">
      <w:pPr>
        <w:pStyle w:val="Default"/>
        <w:rPr>
          <w:rFonts w:ascii="Arial" w:hAnsi="Arial" w:cs="Arial"/>
          <w:bCs/>
          <w:sz w:val="28"/>
          <w:szCs w:val="28"/>
        </w:rPr>
      </w:pPr>
    </w:p>
    <w:tbl>
      <w:tblPr>
        <w:tblW w:w="4880" w:type="dxa"/>
        <w:tblInd w:w="2063" w:type="dxa"/>
        <w:tblLook w:val="04A0" w:firstRow="1" w:lastRow="0" w:firstColumn="1" w:lastColumn="0" w:noHBand="0" w:noVBand="1"/>
      </w:tblPr>
      <w:tblGrid>
        <w:gridCol w:w="2272"/>
        <w:gridCol w:w="2608"/>
      </w:tblGrid>
      <w:tr w:rsidR="0038641A" w:rsidRPr="0038641A" w:rsidTr="0038641A">
        <w:trPr>
          <w:trHeight w:val="300"/>
        </w:trPr>
        <w:tc>
          <w:tcPr>
            <w:tcW w:w="4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Difference between gross hourly earnings</w:t>
            </w:r>
          </w:p>
        </w:tc>
      </w:tr>
      <w:tr w:rsidR="0038641A" w:rsidRPr="0038641A" w:rsidTr="0038641A">
        <w:trPr>
          <w:trHeight w:val="30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Mean</w:t>
            </w:r>
          </w:p>
        </w:tc>
        <w:tc>
          <w:tcPr>
            <w:tcW w:w="2608" w:type="dxa"/>
            <w:tcBorders>
              <w:top w:val="nil"/>
              <w:left w:val="nil"/>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Median</w:t>
            </w:r>
          </w:p>
        </w:tc>
      </w:tr>
      <w:tr w:rsidR="0038641A" w:rsidRPr="0038641A" w:rsidTr="0038641A">
        <w:trPr>
          <w:trHeight w:val="300"/>
        </w:trPr>
        <w:tc>
          <w:tcPr>
            <w:tcW w:w="2272" w:type="dxa"/>
            <w:tcBorders>
              <w:top w:val="nil"/>
              <w:left w:val="single" w:sz="4" w:space="0" w:color="auto"/>
              <w:bottom w:val="single" w:sz="4" w:space="0" w:color="auto"/>
              <w:right w:val="single" w:sz="4" w:space="0" w:color="auto"/>
            </w:tcBorders>
            <w:shd w:val="clear" w:color="auto" w:fill="auto"/>
            <w:noWrap/>
            <w:vAlign w:val="bottom"/>
            <w:hideMark/>
          </w:tcPr>
          <w:p w:rsidR="0038641A" w:rsidRPr="0038641A" w:rsidRDefault="00985E34" w:rsidP="00C402C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16.67</w:t>
            </w:r>
            <w:r w:rsidR="00155D32">
              <w:rPr>
                <w:rFonts w:ascii="Calibri" w:eastAsia="Times New Roman" w:hAnsi="Calibri" w:cs="Calibri"/>
                <w:color w:val="000000"/>
                <w:lang w:eastAsia="en-GB"/>
              </w:rPr>
              <w:t>%</w:t>
            </w:r>
          </w:p>
        </w:tc>
        <w:tc>
          <w:tcPr>
            <w:tcW w:w="2608" w:type="dxa"/>
            <w:tcBorders>
              <w:top w:val="nil"/>
              <w:left w:val="nil"/>
              <w:bottom w:val="single" w:sz="4" w:space="0" w:color="auto"/>
              <w:right w:val="single" w:sz="4" w:space="0" w:color="auto"/>
            </w:tcBorders>
            <w:shd w:val="clear" w:color="auto" w:fill="auto"/>
            <w:noWrap/>
            <w:vAlign w:val="bottom"/>
            <w:hideMark/>
          </w:tcPr>
          <w:p w:rsidR="0038641A" w:rsidRPr="0038641A" w:rsidRDefault="00985E34" w:rsidP="00E3227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14</w:t>
            </w:r>
            <w:r w:rsidR="00A72D28">
              <w:rPr>
                <w:rFonts w:ascii="Calibri" w:eastAsia="Times New Roman" w:hAnsi="Calibri" w:cs="Calibri"/>
                <w:color w:val="000000"/>
                <w:lang w:eastAsia="en-GB"/>
              </w:rPr>
              <w:t>.66</w:t>
            </w:r>
            <w:r w:rsidR="00835F6C">
              <w:rPr>
                <w:rFonts w:ascii="Calibri" w:eastAsia="Times New Roman" w:hAnsi="Calibri" w:cs="Calibri"/>
                <w:color w:val="000000"/>
                <w:lang w:eastAsia="en-GB"/>
              </w:rPr>
              <w:t>%</w:t>
            </w:r>
          </w:p>
        </w:tc>
      </w:tr>
    </w:tbl>
    <w:p w:rsidR="005D72DD" w:rsidRDefault="005D72DD" w:rsidP="003F2AD1">
      <w:pPr>
        <w:pStyle w:val="Default"/>
        <w:ind w:left="1843"/>
        <w:rPr>
          <w:rFonts w:ascii="Arial" w:hAnsi="Arial" w:cs="Arial"/>
          <w:b/>
          <w:bCs/>
          <w:sz w:val="28"/>
          <w:szCs w:val="28"/>
        </w:rPr>
      </w:pPr>
    </w:p>
    <w:p w:rsidR="008C1B73" w:rsidRDefault="00A13B33" w:rsidP="00A13B33">
      <w:pPr>
        <w:pStyle w:val="Default"/>
        <w:rPr>
          <w:rFonts w:ascii="Arial" w:hAnsi="Arial" w:cs="Arial"/>
          <w:b/>
          <w:bCs/>
          <w:sz w:val="28"/>
          <w:szCs w:val="28"/>
        </w:rPr>
      </w:pPr>
      <w:r w:rsidRPr="00A13B33">
        <w:rPr>
          <w:rFonts w:ascii="Arial" w:hAnsi="Arial" w:cs="Arial"/>
          <w:b/>
          <w:bCs/>
          <w:noProof/>
          <w:sz w:val="28"/>
          <w:szCs w:val="28"/>
          <w:lang w:eastAsia="en-GB"/>
        </w:rPr>
        <w:drawing>
          <wp:inline distT="0" distB="0" distL="0" distR="0">
            <wp:extent cx="2733675" cy="158043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3640" cy="1597756"/>
                    </a:xfrm>
                    <a:prstGeom prst="rect">
                      <a:avLst/>
                    </a:prstGeom>
                    <a:noFill/>
                    <a:ln>
                      <a:noFill/>
                    </a:ln>
                  </pic:spPr>
                </pic:pic>
              </a:graphicData>
            </a:graphic>
          </wp:inline>
        </w:drawing>
      </w:r>
      <w:r>
        <w:rPr>
          <w:rFonts w:ascii="Arial" w:hAnsi="Arial" w:cs="Arial"/>
          <w:b/>
          <w:bCs/>
          <w:noProof/>
          <w:sz w:val="28"/>
          <w:szCs w:val="28"/>
          <w:lang w:eastAsia="en-GB"/>
        </w:rPr>
        <w:t xml:space="preserve">     </w:t>
      </w:r>
      <w:r w:rsidRPr="00A13B33">
        <w:rPr>
          <w:rFonts w:ascii="Arial" w:hAnsi="Arial" w:cs="Arial"/>
          <w:b/>
          <w:bCs/>
          <w:noProof/>
          <w:sz w:val="28"/>
          <w:szCs w:val="28"/>
          <w:lang w:eastAsia="en-GB"/>
        </w:rPr>
        <w:drawing>
          <wp:inline distT="0" distB="0" distL="0" distR="0">
            <wp:extent cx="2947112" cy="169545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6893" cy="1706830"/>
                    </a:xfrm>
                    <a:prstGeom prst="rect">
                      <a:avLst/>
                    </a:prstGeom>
                    <a:noFill/>
                    <a:ln>
                      <a:noFill/>
                    </a:ln>
                  </pic:spPr>
                </pic:pic>
              </a:graphicData>
            </a:graphic>
          </wp:inline>
        </w:drawing>
      </w:r>
    </w:p>
    <w:p w:rsidR="008C1B73" w:rsidRDefault="008C1B73" w:rsidP="00CD4867">
      <w:pPr>
        <w:pStyle w:val="Default"/>
        <w:rPr>
          <w:rFonts w:ascii="Arial" w:hAnsi="Arial" w:cs="Arial"/>
          <w:b/>
          <w:bCs/>
          <w:sz w:val="28"/>
          <w:szCs w:val="28"/>
        </w:rPr>
      </w:pPr>
    </w:p>
    <w:p w:rsidR="005D72DD" w:rsidRPr="00767020" w:rsidRDefault="005D72DD" w:rsidP="005D72DD">
      <w:pPr>
        <w:pStyle w:val="Default"/>
        <w:rPr>
          <w:rFonts w:ascii="Arial" w:hAnsi="Arial" w:cs="Arial"/>
          <w:b/>
          <w:sz w:val="28"/>
          <w:szCs w:val="28"/>
        </w:rPr>
      </w:pPr>
      <w:r w:rsidRPr="00767020">
        <w:rPr>
          <w:rFonts w:ascii="Arial" w:hAnsi="Arial" w:cs="Arial"/>
          <w:b/>
          <w:sz w:val="28"/>
          <w:szCs w:val="28"/>
        </w:rPr>
        <w:t xml:space="preserve">Pay Quartiles </w:t>
      </w:r>
    </w:p>
    <w:p w:rsidR="005D72DD" w:rsidRPr="005D72DD" w:rsidRDefault="005D72DD" w:rsidP="005D72DD">
      <w:pPr>
        <w:pStyle w:val="Default"/>
        <w:rPr>
          <w:rFonts w:ascii="Arial" w:hAnsi="Arial" w:cs="Arial"/>
          <w:b/>
        </w:rPr>
      </w:pPr>
    </w:p>
    <w:p w:rsidR="005D72DD" w:rsidRDefault="003F2AD1" w:rsidP="005D72DD">
      <w:pPr>
        <w:pStyle w:val="Default"/>
        <w:rPr>
          <w:rFonts w:ascii="Arial" w:hAnsi="Arial" w:cs="Arial"/>
          <w:sz w:val="22"/>
          <w:szCs w:val="22"/>
        </w:rPr>
      </w:pPr>
      <w:r>
        <w:rPr>
          <w:rFonts w:ascii="Arial" w:hAnsi="Arial" w:cs="Arial"/>
          <w:sz w:val="22"/>
          <w:szCs w:val="22"/>
        </w:rPr>
        <w:t>Pay quartiles</w:t>
      </w:r>
      <w:r w:rsidRPr="003F2AD1">
        <w:rPr>
          <w:rFonts w:ascii="Arial" w:hAnsi="Arial" w:cs="Arial"/>
          <w:sz w:val="22"/>
          <w:szCs w:val="22"/>
        </w:rPr>
        <w:t xml:space="preserve"> are calculated by splitting all employees in an organisation into four even groups according to their level of pay. Looking at the proportion of women in each quarter gives an indication of women's representation at different levels of the organisation.</w:t>
      </w:r>
      <w:r>
        <w:rPr>
          <w:rFonts w:ascii="Arial" w:hAnsi="Arial" w:cs="Arial"/>
          <w:sz w:val="22"/>
          <w:szCs w:val="22"/>
        </w:rPr>
        <w:t xml:space="preserve"> </w:t>
      </w:r>
      <w:r w:rsidR="005D72DD" w:rsidRPr="005D72DD">
        <w:rPr>
          <w:rFonts w:ascii="Arial" w:hAnsi="Arial" w:cs="Arial"/>
          <w:sz w:val="22"/>
          <w:szCs w:val="22"/>
        </w:rPr>
        <w:t>The proportion o</w:t>
      </w:r>
      <w:r>
        <w:rPr>
          <w:rFonts w:ascii="Arial" w:hAnsi="Arial" w:cs="Arial"/>
          <w:sz w:val="22"/>
          <w:szCs w:val="22"/>
        </w:rPr>
        <w:t xml:space="preserve">f male and females in each </w:t>
      </w:r>
      <w:r w:rsidR="005D72DD" w:rsidRPr="005D72DD">
        <w:rPr>
          <w:rFonts w:ascii="Arial" w:hAnsi="Arial" w:cs="Arial"/>
          <w:sz w:val="22"/>
          <w:szCs w:val="22"/>
        </w:rPr>
        <w:t>pay quartile is shown below.</w:t>
      </w:r>
      <w:r w:rsidR="006538A0">
        <w:rPr>
          <w:rFonts w:ascii="Arial" w:hAnsi="Arial" w:cs="Arial"/>
          <w:sz w:val="22"/>
          <w:szCs w:val="22"/>
        </w:rPr>
        <w:t xml:space="preserve">  During this report period we have increased the proportion of women in the middle and upper quartiles of the organisation.</w:t>
      </w:r>
    </w:p>
    <w:p w:rsidR="00B23462" w:rsidRDefault="00B23462" w:rsidP="005D72DD">
      <w:pPr>
        <w:pStyle w:val="Default"/>
        <w:rPr>
          <w:rFonts w:ascii="Arial" w:hAnsi="Arial" w:cs="Arial"/>
          <w:sz w:val="22"/>
          <w:szCs w:val="22"/>
        </w:rPr>
      </w:pPr>
    </w:p>
    <w:p w:rsidR="005D72DD" w:rsidRDefault="00A13B33" w:rsidP="00155D32">
      <w:pPr>
        <w:pStyle w:val="Default"/>
        <w:jc w:val="center"/>
        <w:rPr>
          <w:rFonts w:ascii="Arial" w:hAnsi="Arial" w:cs="Arial"/>
          <w:sz w:val="22"/>
          <w:szCs w:val="22"/>
        </w:rPr>
      </w:pPr>
      <w:r>
        <w:rPr>
          <w:noProof/>
          <w:lang w:eastAsia="en-GB"/>
        </w:rPr>
        <w:drawing>
          <wp:inline distT="0" distB="0" distL="0" distR="0" wp14:anchorId="09F467E6" wp14:editId="3550E2EC">
            <wp:extent cx="5153025" cy="1400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53025" cy="1400175"/>
                    </a:xfrm>
                    <a:prstGeom prst="rect">
                      <a:avLst/>
                    </a:prstGeom>
                  </pic:spPr>
                </pic:pic>
              </a:graphicData>
            </a:graphic>
          </wp:inline>
        </w:drawing>
      </w:r>
    </w:p>
    <w:p w:rsidR="00B23462" w:rsidRDefault="00B23462" w:rsidP="005D72DD">
      <w:pPr>
        <w:pStyle w:val="Default"/>
        <w:rPr>
          <w:rFonts w:ascii="Arial" w:hAnsi="Arial" w:cs="Arial"/>
          <w:sz w:val="22"/>
          <w:szCs w:val="22"/>
        </w:rPr>
      </w:pPr>
    </w:p>
    <w:p w:rsidR="00F96439" w:rsidRDefault="00601C9D" w:rsidP="005D72DD">
      <w:pPr>
        <w:pStyle w:val="Default"/>
        <w:rPr>
          <w:rFonts w:ascii="Arial" w:hAnsi="Arial" w:cs="Arial"/>
          <w:sz w:val="22"/>
          <w:szCs w:val="22"/>
        </w:rPr>
      </w:pPr>
      <w:r w:rsidRPr="00601C9D">
        <w:rPr>
          <w:rFonts w:ascii="Arial" w:hAnsi="Arial" w:cs="Arial"/>
          <w:sz w:val="22"/>
          <w:szCs w:val="22"/>
        </w:rPr>
        <w:t>W</w:t>
      </w:r>
      <w:r>
        <w:rPr>
          <w:rFonts w:ascii="Arial" w:hAnsi="Arial" w:cs="Arial"/>
          <w:sz w:val="22"/>
          <w:szCs w:val="22"/>
        </w:rPr>
        <w:t>hilst w</w:t>
      </w:r>
      <w:r w:rsidRPr="00601C9D">
        <w:rPr>
          <w:rFonts w:ascii="Arial" w:hAnsi="Arial" w:cs="Arial"/>
          <w:sz w:val="22"/>
          <w:szCs w:val="22"/>
        </w:rPr>
        <w:t xml:space="preserve">omen make up </w:t>
      </w:r>
      <w:r w:rsidR="00985E34">
        <w:rPr>
          <w:rFonts w:ascii="Arial" w:hAnsi="Arial" w:cs="Arial"/>
          <w:sz w:val="22"/>
          <w:szCs w:val="22"/>
        </w:rPr>
        <w:t>only 16</w:t>
      </w:r>
      <w:r>
        <w:rPr>
          <w:rFonts w:ascii="Arial" w:hAnsi="Arial" w:cs="Arial"/>
          <w:sz w:val="22"/>
          <w:szCs w:val="22"/>
        </w:rPr>
        <w:t>% of our employees, they</w:t>
      </w:r>
      <w:r w:rsidRPr="00601C9D">
        <w:rPr>
          <w:rFonts w:ascii="Arial" w:hAnsi="Arial" w:cs="Arial"/>
          <w:sz w:val="22"/>
          <w:szCs w:val="22"/>
        </w:rPr>
        <w:t xml:space="preserve"> are under-rep</w:t>
      </w:r>
      <w:r>
        <w:rPr>
          <w:rFonts w:ascii="Arial" w:hAnsi="Arial" w:cs="Arial"/>
          <w:sz w:val="22"/>
          <w:szCs w:val="22"/>
        </w:rPr>
        <w:t xml:space="preserve">resented in the upper </w:t>
      </w:r>
      <w:r w:rsidR="007916B9">
        <w:rPr>
          <w:rFonts w:ascii="Arial" w:hAnsi="Arial" w:cs="Arial"/>
          <w:sz w:val="22"/>
          <w:szCs w:val="22"/>
        </w:rPr>
        <w:t>higher</w:t>
      </w:r>
      <w:r>
        <w:rPr>
          <w:rFonts w:ascii="Arial" w:hAnsi="Arial" w:cs="Arial"/>
          <w:sz w:val="22"/>
          <w:szCs w:val="22"/>
        </w:rPr>
        <w:t xml:space="preserve"> </w:t>
      </w:r>
      <w:proofErr w:type="gramStart"/>
      <w:r w:rsidR="00DA5DA6">
        <w:rPr>
          <w:rFonts w:ascii="Arial" w:hAnsi="Arial" w:cs="Arial"/>
          <w:sz w:val="22"/>
          <w:szCs w:val="22"/>
        </w:rPr>
        <w:t>group</w:t>
      </w:r>
      <w:r w:rsidR="009405A2">
        <w:rPr>
          <w:rFonts w:ascii="Arial" w:hAnsi="Arial" w:cs="Arial"/>
          <w:sz w:val="22"/>
          <w:szCs w:val="22"/>
        </w:rPr>
        <w:t>s</w:t>
      </w:r>
      <w:r w:rsidR="00326A1D">
        <w:rPr>
          <w:rFonts w:ascii="Arial" w:hAnsi="Arial" w:cs="Arial"/>
          <w:sz w:val="22"/>
          <w:szCs w:val="22"/>
        </w:rPr>
        <w:t xml:space="preserve"> which</w:t>
      </w:r>
      <w:proofErr w:type="gramEnd"/>
      <w:r w:rsidR="00326A1D">
        <w:rPr>
          <w:rFonts w:ascii="Arial" w:hAnsi="Arial" w:cs="Arial"/>
          <w:sz w:val="22"/>
          <w:szCs w:val="22"/>
        </w:rPr>
        <w:t xml:space="preserve"> is</w:t>
      </w:r>
      <w:r w:rsidR="00F96439">
        <w:rPr>
          <w:rFonts w:ascii="Arial" w:hAnsi="Arial" w:cs="Arial"/>
          <w:sz w:val="22"/>
          <w:szCs w:val="22"/>
        </w:rPr>
        <w:t xml:space="preserve"> primarily occupied with management and senior engineering positions</w:t>
      </w:r>
      <w:r w:rsidR="00DA5DA6">
        <w:rPr>
          <w:rFonts w:ascii="Arial" w:hAnsi="Arial" w:cs="Arial"/>
          <w:sz w:val="22"/>
          <w:szCs w:val="22"/>
        </w:rPr>
        <w:t>. T</w:t>
      </w:r>
      <w:r w:rsidR="007916B9">
        <w:rPr>
          <w:rFonts w:ascii="Arial" w:hAnsi="Arial" w:cs="Arial"/>
          <w:sz w:val="22"/>
          <w:szCs w:val="22"/>
        </w:rPr>
        <w:t>his</w:t>
      </w:r>
      <w:r w:rsidR="00F96439">
        <w:rPr>
          <w:rFonts w:ascii="Arial" w:hAnsi="Arial" w:cs="Arial"/>
          <w:sz w:val="22"/>
          <w:szCs w:val="22"/>
        </w:rPr>
        <w:t xml:space="preserve"> </w:t>
      </w:r>
      <w:r w:rsidR="00DA5DA6">
        <w:rPr>
          <w:rFonts w:ascii="Arial" w:hAnsi="Arial" w:cs="Arial"/>
          <w:sz w:val="22"/>
          <w:szCs w:val="22"/>
        </w:rPr>
        <w:t>will be an area of focus for the future but</w:t>
      </w:r>
      <w:r w:rsidR="00F96439">
        <w:rPr>
          <w:rFonts w:ascii="Arial" w:hAnsi="Arial" w:cs="Arial"/>
          <w:sz w:val="22"/>
          <w:szCs w:val="22"/>
        </w:rPr>
        <w:t xml:space="preserve"> it is likely to take some time for any changes to feed </w:t>
      </w:r>
      <w:proofErr w:type="gramStart"/>
      <w:r w:rsidR="00F96439">
        <w:rPr>
          <w:rFonts w:ascii="Arial" w:hAnsi="Arial" w:cs="Arial"/>
          <w:sz w:val="22"/>
          <w:szCs w:val="22"/>
        </w:rPr>
        <w:t>through</w:t>
      </w:r>
      <w:proofErr w:type="gramEnd"/>
      <w:r w:rsidR="00F96439">
        <w:rPr>
          <w:rFonts w:ascii="Arial" w:hAnsi="Arial" w:cs="Arial"/>
          <w:sz w:val="22"/>
          <w:szCs w:val="22"/>
        </w:rPr>
        <w:t>.</w:t>
      </w:r>
    </w:p>
    <w:p w:rsidR="00F96439" w:rsidRDefault="00F96439" w:rsidP="005D72DD">
      <w:pPr>
        <w:pStyle w:val="Default"/>
        <w:rPr>
          <w:rFonts w:ascii="Arial" w:hAnsi="Arial" w:cs="Arial"/>
          <w:sz w:val="22"/>
          <w:szCs w:val="22"/>
        </w:rPr>
      </w:pPr>
    </w:p>
    <w:p w:rsidR="00601C9D" w:rsidRDefault="006538A0" w:rsidP="005D72DD">
      <w:pPr>
        <w:pStyle w:val="Default"/>
        <w:rPr>
          <w:rFonts w:ascii="Arial" w:hAnsi="Arial" w:cs="Arial"/>
          <w:sz w:val="22"/>
          <w:szCs w:val="22"/>
        </w:rPr>
      </w:pPr>
      <w:r w:rsidRPr="00E151A1">
        <w:rPr>
          <w:rFonts w:ascii="Arial" w:hAnsi="Arial" w:cs="Arial"/>
          <w:sz w:val="22"/>
          <w:szCs w:val="22"/>
        </w:rPr>
        <w:t>T</w:t>
      </w:r>
      <w:r w:rsidR="00F96439" w:rsidRPr="00E151A1">
        <w:rPr>
          <w:rFonts w:ascii="Arial" w:hAnsi="Arial" w:cs="Arial"/>
          <w:sz w:val="22"/>
          <w:szCs w:val="22"/>
        </w:rPr>
        <w:t>he proportion of</w:t>
      </w:r>
      <w:r w:rsidR="009405A2" w:rsidRPr="00E151A1">
        <w:rPr>
          <w:rFonts w:ascii="Arial" w:hAnsi="Arial" w:cs="Arial"/>
          <w:sz w:val="22"/>
          <w:szCs w:val="22"/>
        </w:rPr>
        <w:t xml:space="preserve"> new</w:t>
      </w:r>
      <w:r w:rsidR="00F96439" w:rsidRPr="00E151A1">
        <w:rPr>
          <w:rFonts w:ascii="Arial" w:hAnsi="Arial" w:cs="Arial"/>
          <w:sz w:val="22"/>
          <w:szCs w:val="22"/>
        </w:rPr>
        <w:t xml:space="preserve"> female</w:t>
      </w:r>
      <w:r w:rsidRPr="00E151A1">
        <w:rPr>
          <w:rFonts w:ascii="Arial" w:hAnsi="Arial" w:cs="Arial"/>
          <w:sz w:val="22"/>
          <w:szCs w:val="22"/>
        </w:rPr>
        <w:t xml:space="preserve"> </w:t>
      </w:r>
      <w:r w:rsidR="009405A2" w:rsidRPr="00E151A1">
        <w:rPr>
          <w:rFonts w:ascii="Arial" w:hAnsi="Arial" w:cs="Arial"/>
          <w:sz w:val="22"/>
          <w:szCs w:val="22"/>
        </w:rPr>
        <w:t xml:space="preserve">hires during the reporting </w:t>
      </w:r>
      <w:proofErr w:type="gramStart"/>
      <w:r w:rsidR="009405A2" w:rsidRPr="00E151A1">
        <w:rPr>
          <w:rFonts w:ascii="Arial" w:hAnsi="Arial" w:cs="Arial"/>
          <w:sz w:val="22"/>
          <w:szCs w:val="22"/>
        </w:rPr>
        <w:t>year</w:t>
      </w:r>
      <w:r w:rsidRPr="00E151A1">
        <w:rPr>
          <w:rFonts w:ascii="Arial" w:hAnsi="Arial" w:cs="Arial"/>
          <w:sz w:val="22"/>
          <w:szCs w:val="22"/>
        </w:rPr>
        <w:t xml:space="preserve"> </w:t>
      </w:r>
      <w:r w:rsidR="00394018">
        <w:rPr>
          <w:rFonts w:ascii="Arial" w:hAnsi="Arial" w:cs="Arial"/>
          <w:sz w:val="22"/>
          <w:szCs w:val="22"/>
        </w:rPr>
        <w:t xml:space="preserve"> was</w:t>
      </w:r>
      <w:proofErr w:type="gramEnd"/>
      <w:r w:rsidR="00394018">
        <w:rPr>
          <w:rFonts w:ascii="Arial" w:hAnsi="Arial" w:cs="Arial"/>
          <w:sz w:val="22"/>
          <w:szCs w:val="22"/>
        </w:rPr>
        <w:t xml:space="preserve"> </w:t>
      </w:r>
      <w:r w:rsidR="00A13B33">
        <w:rPr>
          <w:rFonts w:ascii="Arial" w:hAnsi="Arial" w:cs="Arial"/>
          <w:sz w:val="22"/>
          <w:szCs w:val="22"/>
        </w:rPr>
        <w:t>26</w:t>
      </w:r>
      <w:r w:rsidR="00F96439" w:rsidRPr="00E151A1">
        <w:rPr>
          <w:rFonts w:ascii="Arial" w:hAnsi="Arial" w:cs="Arial"/>
          <w:sz w:val="22"/>
          <w:szCs w:val="22"/>
        </w:rPr>
        <w:t>%</w:t>
      </w:r>
      <w:r w:rsidR="00394018">
        <w:rPr>
          <w:rFonts w:ascii="Arial" w:hAnsi="Arial" w:cs="Arial"/>
          <w:sz w:val="22"/>
          <w:szCs w:val="22"/>
        </w:rPr>
        <w:t>.</w:t>
      </w:r>
    </w:p>
    <w:p w:rsidR="00601C9D" w:rsidRDefault="00601C9D" w:rsidP="005D72DD">
      <w:pPr>
        <w:pStyle w:val="Default"/>
        <w:rPr>
          <w:rFonts w:ascii="Arial" w:hAnsi="Arial" w:cs="Arial"/>
          <w:sz w:val="22"/>
          <w:szCs w:val="22"/>
        </w:rPr>
      </w:pPr>
    </w:p>
    <w:p w:rsidR="005D72DD" w:rsidRDefault="00601C9D" w:rsidP="005D72DD">
      <w:pPr>
        <w:pStyle w:val="Default"/>
        <w:rPr>
          <w:rFonts w:ascii="Arial" w:hAnsi="Arial" w:cs="Arial"/>
          <w:sz w:val="22"/>
          <w:szCs w:val="22"/>
        </w:rPr>
      </w:pPr>
      <w:r w:rsidRPr="00601C9D">
        <w:rPr>
          <w:rFonts w:ascii="Arial" w:hAnsi="Arial" w:cs="Arial"/>
          <w:sz w:val="22"/>
          <w:szCs w:val="22"/>
        </w:rPr>
        <w:t>Within the lower quartile there is a greater gender balance</w:t>
      </w:r>
      <w:r w:rsidR="00F96439">
        <w:rPr>
          <w:rFonts w:ascii="Arial" w:hAnsi="Arial" w:cs="Arial"/>
          <w:sz w:val="22"/>
          <w:szCs w:val="22"/>
        </w:rPr>
        <w:t xml:space="preserve"> as fewer </w:t>
      </w:r>
      <w:r w:rsidR="00F96439" w:rsidRPr="00F50A96">
        <w:rPr>
          <w:rFonts w:ascii="Arial" w:hAnsi="Arial" w:cs="Arial"/>
          <w:sz w:val="22"/>
          <w:szCs w:val="22"/>
        </w:rPr>
        <w:t>roles</w:t>
      </w:r>
      <w:r w:rsidR="00F96439">
        <w:rPr>
          <w:rFonts w:ascii="Arial" w:hAnsi="Arial" w:cs="Arial"/>
          <w:sz w:val="22"/>
          <w:szCs w:val="22"/>
        </w:rPr>
        <w:t xml:space="preserve"> within this quartile are directly linked to STEM activities</w:t>
      </w:r>
      <w:r w:rsidR="004843A2">
        <w:rPr>
          <w:rFonts w:ascii="Arial" w:hAnsi="Arial" w:cs="Arial"/>
          <w:sz w:val="22"/>
          <w:szCs w:val="22"/>
        </w:rPr>
        <w:t>.</w:t>
      </w:r>
    </w:p>
    <w:p w:rsidR="00B23462" w:rsidRDefault="00B23462">
      <w:pPr>
        <w:rPr>
          <w:rFonts w:ascii="Arial" w:hAnsi="Arial" w:cs="Arial"/>
          <w:color w:val="000000"/>
        </w:rPr>
      </w:pPr>
      <w:r>
        <w:rPr>
          <w:rFonts w:ascii="Arial" w:hAnsi="Arial" w:cs="Arial"/>
        </w:rPr>
        <w:br w:type="page"/>
      </w:r>
    </w:p>
    <w:p w:rsidR="003F2AD1" w:rsidRDefault="003F2AD1" w:rsidP="005D72DD">
      <w:pPr>
        <w:pStyle w:val="Default"/>
        <w:rPr>
          <w:rFonts w:ascii="Arial" w:hAnsi="Arial" w:cs="Arial"/>
          <w:sz w:val="22"/>
          <w:szCs w:val="22"/>
        </w:rPr>
      </w:pPr>
    </w:p>
    <w:p w:rsidR="003F2AD1" w:rsidRPr="00767020" w:rsidRDefault="003F2AD1" w:rsidP="005D72DD">
      <w:pPr>
        <w:pStyle w:val="Default"/>
        <w:rPr>
          <w:rFonts w:ascii="Arial" w:hAnsi="Arial" w:cs="Arial"/>
          <w:b/>
          <w:sz w:val="28"/>
          <w:szCs w:val="28"/>
        </w:rPr>
      </w:pPr>
      <w:r w:rsidRPr="00767020">
        <w:rPr>
          <w:rFonts w:ascii="Arial" w:hAnsi="Arial" w:cs="Arial"/>
          <w:b/>
          <w:sz w:val="28"/>
          <w:szCs w:val="28"/>
        </w:rPr>
        <w:t>Bonus</w:t>
      </w:r>
    </w:p>
    <w:p w:rsidR="003F2AD1" w:rsidRDefault="003F2AD1" w:rsidP="005D72DD">
      <w:pPr>
        <w:pStyle w:val="Default"/>
        <w:rPr>
          <w:rFonts w:ascii="Arial" w:hAnsi="Arial" w:cs="Arial"/>
          <w:sz w:val="22"/>
          <w:szCs w:val="22"/>
        </w:rPr>
      </w:pPr>
    </w:p>
    <w:p w:rsidR="003F2AD1" w:rsidRDefault="00F943A2" w:rsidP="005D72DD">
      <w:pPr>
        <w:pStyle w:val="Default"/>
        <w:rPr>
          <w:rFonts w:ascii="Arial" w:hAnsi="Arial" w:cs="Arial"/>
          <w:sz w:val="22"/>
          <w:szCs w:val="22"/>
        </w:rPr>
      </w:pPr>
      <w:r>
        <w:rPr>
          <w:rFonts w:ascii="Arial" w:hAnsi="Arial" w:cs="Arial"/>
          <w:sz w:val="22"/>
          <w:szCs w:val="22"/>
        </w:rPr>
        <w:t>The majority of staff who were</w:t>
      </w:r>
      <w:r w:rsidR="000B29D1">
        <w:rPr>
          <w:rFonts w:ascii="Arial" w:hAnsi="Arial" w:cs="Arial"/>
          <w:sz w:val="22"/>
          <w:szCs w:val="22"/>
        </w:rPr>
        <w:t xml:space="preserve"> were </w:t>
      </w:r>
      <w:r w:rsidR="004843A2">
        <w:rPr>
          <w:rFonts w:ascii="Arial" w:hAnsi="Arial" w:cs="Arial"/>
          <w:sz w:val="22"/>
          <w:szCs w:val="22"/>
        </w:rPr>
        <w:t>employed during this review period</w:t>
      </w:r>
      <w:r w:rsidR="00B23462">
        <w:rPr>
          <w:rFonts w:ascii="Arial" w:hAnsi="Arial" w:cs="Arial"/>
          <w:sz w:val="22"/>
          <w:szCs w:val="22"/>
        </w:rPr>
        <w:t xml:space="preserve"> we</w:t>
      </w:r>
      <w:r w:rsidR="000B29D1">
        <w:rPr>
          <w:rFonts w:ascii="Arial" w:hAnsi="Arial" w:cs="Arial"/>
          <w:sz w:val="22"/>
          <w:szCs w:val="22"/>
        </w:rPr>
        <w:t xml:space="preserve">re eligible for </w:t>
      </w:r>
      <w:r>
        <w:rPr>
          <w:rFonts w:ascii="Arial" w:hAnsi="Arial" w:cs="Arial"/>
          <w:sz w:val="22"/>
          <w:szCs w:val="22"/>
        </w:rPr>
        <w:t xml:space="preserve">an </w:t>
      </w:r>
      <w:r w:rsidR="000B29D1">
        <w:rPr>
          <w:rFonts w:ascii="Arial" w:hAnsi="Arial" w:cs="Arial"/>
          <w:sz w:val="22"/>
          <w:szCs w:val="22"/>
        </w:rPr>
        <w:t>annual business bonus although staff who joined the</w:t>
      </w:r>
      <w:r w:rsidR="00394018">
        <w:rPr>
          <w:rFonts w:ascii="Arial" w:hAnsi="Arial" w:cs="Arial"/>
          <w:sz w:val="22"/>
          <w:szCs w:val="22"/>
        </w:rPr>
        <w:t xml:space="preserve"> Company between the end of 2023</w:t>
      </w:r>
      <w:r w:rsidR="000B29D1">
        <w:rPr>
          <w:rFonts w:ascii="Arial" w:hAnsi="Arial" w:cs="Arial"/>
          <w:sz w:val="22"/>
          <w:szCs w:val="22"/>
        </w:rPr>
        <w:t xml:space="preserve"> and the end of the relevant pay period do not qualify for a bonus payment.</w:t>
      </w:r>
    </w:p>
    <w:p w:rsidR="00B23462" w:rsidRDefault="00B23462" w:rsidP="005D72DD">
      <w:pPr>
        <w:pStyle w:val="Default"/>
        <w:rPr>
          <w:rFonts w:ascii="Arial" w:hAnsi="Arial" w:cs="Arial"/>
          <w:sz w:val="22"/>
          <w:szCs w:val="22"/>
        </w:rPr>
      </w:pPr>
    </w:p>
    <w:tbl>
      <w:tblPr>
        <w:tblW w:w="4880" w:type="dxa"/>
        <w:tblInd w:w="2063" w:type="dxa"/>
        <w:tblLook w:val="04A0" w:firstRow="1" w:lastRow="0" w:firstColumn="1" w:lastColumn="0" w:noHBand="0" w:noVBand="1"/>
      </w:tblPr>
      <w:tblGrid>
        <w:gridCol w:w="2957"/>
        <w:gridCol w:w="1923"/>
      </w:tblGrid>
      <w:tr w:rsidR="0038641A" w:rsidRPr="0038641A" w:rsidTr="0038641A">
        <w:trPr>
          <w:trHeight w:val="300"/>
        </w:trPr>
        <w:tc>
          <w:tcPr>
            <w:tcW w:w="4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Proportion of staff receiving a bonus</w:t>
            </w:r>
          </w:p>
        </w:tc>
      </w:tr>
      <w:tr w:rsidR="0038641A" w:rsidRPr="0038641A" w:rsidTr="0038641A">
        <w:trPr>
          <w:trHeight w:val="300"/>
        </w:trPr>
        <w:tc>
          <w:tcPr>
            <w:tcW w:w="2957" w:type="dxa"/>
            <w:tcBorders>
              <w:top w:val="nil"/>
              <w:left w:val="single" w:sz="4" w:space="0" w:color="auto"/>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Female</w:t>
            </w:r>
          </w:p>
        </w:tc>
        <w:tc>
          <w:tcPr>
            <w:tcW w:w="1923" w:type="dxa"/>
            <w:tcBorders>
              <w:top w:val="nil"/>
              <w:left w:val="nil"/>
              <w:bottom w:val="single" w:sz="4" w:space="0" w:color="auto"/>
              <w:right w:val="single" w:sz="4" w:space="0" w:color="auto"/>
            </w:tcBorders>
            <w:shd w:val="clear" w:color="auto" w:fill="auto"/>
            <w:noWrap/>
            <w:vAlign w:val="bottom"/>
            <w:hideMark/>
          </w:tcPr>
          <w:p w:rsidR="0038641A" w:rsidRPr="0038641A" w:rsidRDefault="0038641A" w:rsidP="0038641A">
            <w:pPr>
              <w:spacing w:after="0" w:line="240" w:lineRule="auto"/>
              <w:jc w:val="center"/>
              <w:rPr>
                <w:rFonts w:ascii="Arial" w:eastAsia="Times New Roman" w:hAnsi="Arial" w:cs="Arial"/>
                <w:b/>
                <w:bCs/>
                <w:color w:val="000000"/>
                <w:lang w:eastAsia="en-GB"/>
              </w:rPr>
            </w:pPr>
            <w:r w:rsidRPr="0038641A">
              <w:rPr>
                <w:rFonts w:ascii="Arial" w:eastAsia="Times New Roman" w:hAnsi="Arial" w:cs="Arial"/>
                <w:b/>
                <w:bCs/>
                <w:color w:val="000000"/>
                <w:lang w:eastAsia="en-GB"/>
              </w:rPr>
              <w:t>Male</w:t>
            </w:r>
          </w:p>
        </w:tc>
      </w:tr>
      <w:tr w:rsidR="0038641A" w:rsidRPr="0038641A" w:rsidTr="0038641A">
        <w:trPr>
          <w:trHeight w:val="300"/>
        </w:trPr>
        <w:tc>
          <w:tcPr>
            <w:tcW w:w="2957" w:type="dxa"/>
            <w:tcBorders>
              <w:top w:val="nil"/>
              <w:left w:val="single" w:sz="4" w:space="0" w:color="auto"/>
              <w:bottom w:val="single" w:sz="4" w:space="0" w:color="auto"/>
              <w:right w:val="single" w:sz="4" w:space="0" w:color="auto"/>
            </w:tcBorders>
            <w:shd w:val="clear" w:color="auto" w:fill="auto"/>
            <w:noWrap/>
            <w:vAlign w:val="bottom"/>
            <w:hideMark/>
          </w:tcPr>
          <w:p w:rsidR="0038641A" w:rsidRPr="0038641A" w:rsidRDefault="00985E34" w:rsidP="00C402C4">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64.94%</w:t>
            </w:r>
          </w:p>
        </w:tc>
        <w:tc>
          <w:tcPr>
            <w:tcW w:w="1923" w:type="dxa"/>
            <w:tcBorders>
              <w:top w:val="nil"/>
              <w:left w:val="nil"/>
              <w:bottom w:val="single" w:sz="4" w:space="0" w:color="auto"/>
              <w:right w:val="single" w:sz="4" w:space="0" w:color="auto"/>
            </w:tcBorders>
            <w:shd w:val="clear" w:color="auto" w:fill="auto"/>
            <w:noWrap/>
            <w:vAlign w:val="bottom"/>
            <w:hideMark/>
          </w:tcPr>
          <w:p w:rsidR="0038641A" w:rsidRPr="0038641A" w:rsidRDefault="00985E34" w:rsidP="00E3227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76.88%</w:t>
            </w:r>
          </w:p>
        </w:tc>
      </w:tr>
    </w:tbl>
    <w:p w:rsidR="00CD4867" w:rsidRDefault="00CD4867" w:rsidP="00CD4867">
      <w:pPr>
        <w:pStyle w:val="Default"/>
        <w:ind w:left="2268"/>
        <w:rPr>
          <w:rFonts w:ascii="Arial" w:hAnsi="Arial" w:cs="Arial"/>
          <w:sz w:val="22"/>
          <w:szCs w:val="22"/>
        </w:rPr>
      </w:pPr>
    </w:p>
    <w:p w:rsidR="000B29D1" w:rsidRDefault="00A13B33" w:rsidP="00C402C4">
      <w:pPr>
        <w:pStyle w:val="Default"/>
        <w:rPr>
          <w:rFonts w:ascii="Arial" w:hAnsi="Arial" w:cs="Arial"/>
          <w:sz w:val="22"/>
          <w:szCs w:val="22"/>
        </w:rPr>
      </w:pPr>
      <w:r>
        <w:rPr>
          <w:noProof/>
          <w:lang w:eastAsia="en-GB"/>
        </w:rPr>
        <w:drawing>
          <wp:inline distT="0" distB="0" distL="0" distR="0" wp14:anchorId="2E3E594E" wp14:editId="19CA411B">
            <wp:extent cx="6030595" cy="1690370"/>
            <wp:effectExtent l="0" t="0" r="825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30595" cy="1690370"/>
                    </a:xfrm>
                    <a:prstGeom prst="rect">
                      <a:avLst/>
                    </a:prstGeom>
                  </pic:spPr>
                </pic:pic>
              </a:graphicData>
            </a:graphic>
          </wp:inline>
        </w:drawing>
      </w:r>
    </w:p>
    <w:p w:rsidR="00C402C4" w:rsidRDefault="00C402C4" w:rsidP="000B29D1">
      <w:pPr>
        <w:pStyle w:val="Default"/>
        <w:ind w:left="2268"/>
        <w:rPr>
          <w:rFonts w:ascii="Arial" w:hAnsi="Arial" w:cs="Arial"/>
          <w:sz w:val="22"/>
          <w:szCs w:val="22"/>
        </w:rPr>
      </w:pPr>
    </w:p>
    <w:tbl>
      <w:tblPr>
        <w:tblW w:w="4880" w:type="dxa"/>
        <w:tblInd w:w="2063" w:type="dxa"/>
        <w:tblLook w:val="04A0" w:firstRow="1" w:lastRow="0" w:firstColumn="1" w:lastColumn="0" w:noHBand="0" w:noVBand="1"/>
      </w:tblPr>
      <w:tblGrid>
        <w:gridCol w:w="2085"/>
        <w:gridCol w:w="2795"/>
      </w:tblGrid>
      <w:tr w:rsidR="007C6347" w:rsidRPr="007C6347" w:rsidTr="007C6347">
        <w:trPr>
          <w:trHeight w:val="300"/>
        </w:trPr>
        <w:tc>
          <w:tcPr>
            <w:tcW w:w="4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6347" w:rsidRPr="007C6347" w:rsidRDefault="007C6347" w:rsidP="007C6347">
            <w:pPr>
              <w:spacing w:after="0" w:line="240" w:lineRule="auto"/>
              <w:jc w:val="center"/>
              <w:rPr>
                <w:rFonts w:ascii="Arial" w:eastAsia="Times New Roman" w:hAnsi="Arial" w:cs="Arial"/>
                <w:b/>
                <w:bCs/>
                <w:color w:val="000000"/>
                <w:lang w:eastAsia="en-GB"/>
              </w:rPr>
            </w:pPr>
            <w:r w:rsidRPr="007C6347">
              <w:rPr>
                <w:rFonts w:ascii="Arial" w:eastAsia="Times New Roman" w:hAnsi="Arial" w:cs="Arial"/>
                <w:b/>
                <w:bCs/>
                <w:color w:val="000000"/>
                <w:lang w:eastAsia="en-GB"/>
              </w:rPr>
              <w:t>Difference between bonus pay</w:t>
            </w:r>
          </w:p>
        </w:tc>
      </w:tr>
      <w:tr w:rsidR="007C6347" w:rsidRPr="007C6347" w:rsidTr="007C6347">
        <w:trPr>
          <w:trHeight w:val="300"/>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C6347" w:rsidRPr="007C6347" w:rsidRDefault="007C6347" w:rsidP="007C6347">
            <w:pPr>
              <w:spacing w:after="0" w:line="240" w:lineRule="auto"/>
              <w:jc w:val="center"/>
              <w:rPr>
                <w:rFonts w:ascii="Arial" w:eastAsia="Times New Roman" w:hAnsi="Arial" w:cs="Arial"/>
                <w:b/>
                <w:bCs/>
                <w:color w:val="000000"/>
                <w:lang w:eastAsia="en-GB"/>
              </w:rPr>
            </w:pPr>
            <w:r w:rsidRPr="007C6347">
              <w:rPr>
                <w:rFonts w:ascii="Arial" w:eastAsia="Times New Roman" w:hAnsi="Arial" w:cs="Arial"/>
                <w:b/>
                <w:bCs/>
                <w:color w:val="000000"/>
                <w:lang w:eastAsia="en-GB"/>
              </w:rPr>
              <w:t>Mean</w:t>
            </w:r>
          </w:p>
        </w:tc>
        <w:tc>
          <w:tcPr>
            <w:tcW w:w="2795" w:type="dxa"/>
            <w:tcBorders>
              <w:top w:val="nil"/>
              <w:left w:val="nil"/>
              <w:bottom w:val="single" w:sz="4" w:space="0" w:color="auto"/>
              <w:right w:val="single" w:sz="4" w:space="0" w:color="auto"/>
            </w:tcBorders>
            <w:shd w:val="clear" w:color="auto" w:fill="auto"/>
            <w:noWrap/>
            <w:vAlign w:val="bottom"/>
            <w:hideMark/>
          </w:tcPr>
          <w:p w:rsidR="007C6347" w:rsidRPr="007C6347" w:rsidRDefault="007C6347" w:rsidP="007C6347">
            <w:pPr>
              <w:spacing w:after="0" w:line="240" w:lineRule="auto"/>
              <w:jc w:val="center"/>
              <w:rPr>
                <w:rFonts w:ascii="Arial" w:eastAsia="Times New Roman" w:hAnsi="Arial" w:cs="Arial"/>
                <w:b/>
                <w:bCs/>
                <w:color w:val="000000"/>
                <w:lang w:eastAsia="en-GB"/>
              </w:rPr>
            </w:pPr>
            <w:r w:rsidRPr="007C6347">
              <w:rPr>
                <w:rFonts w:ascii="Arial" w:eastAsia="Times New Roman" w:hAnsi="Arial" w:cs="Arial"/>
                <w:b/>
                <w:bCs/>
                <w:color w:val="000000"/>
                <w:lang w:eastAsia="en-GB"/>
              </w:rPr>
              <w:t>Median</w:t>
            </w:r>
          </w:p>
        </w:tc>
      </w:tr>
      <w:tr w:rsidR="007C6347" w:rsidRPr="007C6347" w:rsidTr="007C6347">
        <w:trPr>
          <w:trHeight w:val="315"/>
        </w:trPr>
        <w:tc>
          <w:tcPr>
            <w:tcW w:w="2085" w:type="dxa"/>
            <w:tcBorders>
              <w:top w:val="nil"/>
              <w:left w:val="single" w:sz="4" w:space="0" w:color="auto"/>
              <w:bottom w:val="single" w:sz="4" w:space="0" w:color="auto"/>
              <w:right w:val="single" w:sz="4" w:space="0" w:color="auto"/>
            </w:tcBorders>
            <w:shd w:val="clear" w:color="auto" w:fill="auto"/>
            <w:noWrap/>
            <w:vAlign w:val="bottom"/>
            <w:hideMark/>
          </w:tcPr>
          <w:p w:rsidR="007C6347" w:rsidRPr="007C6347" w:rsidRDefault="00985E34" w:rsidP="007C6347">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-3.5%</w:t>
            </w:r>
          </w:p>
        </w:tc>
        <w:tc>
          <w:tcPr>
            <w:tcW w:w="2795" w:type="dxa"/>
            <w:tcBorders>
              <w:top w:val="nil"/>
              <w:left w:val="nil"/>
              <w:bottom w:val="single" w:sz="4" w:space="0" w:color="auto"/>
              <w:right w:val="single" w:sz="4" w:space="0" w:color="auto"/>
            </w:tcBorders>
            <w:shd w:val="clear" w:color="auto" w:fill="auto"/>
            <w:noWrap/>
            <w:vAlign w:val="bottom"/>
            <w:hideMark/>
          </w:tcPr>
          <w:p w:rsidR="007C6347" w:rsidRPr="007C6347" w:rsidRDefault="00C402C4" w:rsidP="00155D32">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00985E34">
              <w:rPr>
                <w:rFonts w:ascii="Calibri" w:eastAsia="Times New Roman" w:hAnsi="Calibri" w:cs="Calibri"/>
                <w:color w:val="000000"/>
                <w:lang w:eastAsia="en-GB"/>
              </w:rPr>
              <w:t>65.4%</w:t>
            </w:r>
          </w:p>
        </w:tc>
      </w:tr>
    </w:tbl>
    <w:p w:rsidR="000B29D1" w:rsidRDefault="000B29D1" w:rsidP="000B29D1">
      <w:pPr>
        <w:pStyle w:val="Default"/>
        <w:ind w:left="2268"/>
        <w:rPr>
          <w:rFonts w:ascii="Arial" w:hAnsi="Arial" w:cs="Arial"/>
          <w:sz w:val="22"/>
          <w:szCs w:val="22"/>
        </w:rPr>
      </w:pPr>
    </w:p>
    <w:p w:rsidR="00B23462" w:rsidRDefault="00A13B33" w:rsidP="00CD4867">
      <w:pPr>
        <w:pStyle w:val="Default"/>
        <w:rPr>
          <w:rFonts w:ascii="Arial" w:hAnsi="Arial" w:cs="Arial"/>
          <w:sz w:val="22"/>
          <w:szCs w:val="22"/>
        </w:rPr>
      </w:pPr>
      <w:r w:rsidRPr="00A13B33">
        <w:rPr>
          <w:rFonts w:ascii="Arial" w:hAnsi="Arial" w:cs="Arial"/>
          <w:noProof/>
          <w:sz w:val="22"/>
          <w:szCs w:val="22"/>
          <w:lang w:eastAsia="en-GB"/>
        </w:rPr>
        <w:drawing>
          <wp:inline distT="0" distB="0" distL="0" distR="0">
            <wp:extent cx="2660680" cy="199072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7604" cy="2003388"/>
                    </a:xfrm>
                    <a:prstGeom prst="rect">
                      <a:avLst/>
                    </a:prstGeom>
                    <a:noFill/>
                    <a:ln>
                      <a:noFill/>
                    </a:ln>
                  </pic:spPr>
                </pic:pic>
              </a:graphicData>
            </a:graphic>
          </wp:inline>
        </w:drawing>
      </w:r>
      <w:r>
        <w:rPr>
          <w:rFonts w:ascii="Arial" w:hAnsi="Arial" w:cs="Arial"/>
          <w:sz w:val="22"/>
          <w:szCs w:val="22"/>
        </w:rPr>
        <w:t xml:space="preserve">  </w:t>
      </w:r>
      <w:r w:rsidRPr="00A13B33">
        <w:rPr>
          <w:rFonts w:ascii="Arial" w:hAnsi="Arial" w:cs="Arial"/>
          <w:noProof/>
          <w:sz w:val="22"/>
          <w:szCs w:val="22"/>
          <w:lang w:eastAsia="en-GB"/>
        </w:rPr>
        <w:drawing>
          <wp:inline distT="0" distB="0" distL="0" distR="0">
            <wp:extent cx="2647950" cy="1981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355" cy="1997215"/>
                    </a:xfrm>
                    <a:prstGeom prst="rect">
                      <a:avLst/>
                    </a:prstGeom>
                    <a:noFill/>
                    <a:ln>
                      <a:noFill/>
                    </a:ln>
                  </pic:spPr>
                </pic:pic>
              </a:graphicData>
            </a:graphic>
          </wp:inline>
        </w:drawing>
      </w:r>
    </w:p>
    <w:p w:rsidR="003F2AD1" w:rsidRDefault="003F2AD1" w:rsidP="000B29D1">
      <w:pPr>
        <w:pStyle w:val="Default"/>
        <w:ind w:left="2268"/>
        <w:rPr>
          <w:rFonts w:ascii="Arial" w:hAnsi="Arial" w:cs="Arial"/>
          <w:sz w:val="22"/>
          <w:szCs w:val="22"/>
        </w:rPr>
      </w:pPr>
    </w:p>
    <w:p w:rsidR="000B29D1" w:rsidRDefault="000B29D1" w:rsidP="005D72DD">
      <w:pPr>
        <w:pStyle w:val="Default"/>
        <w:rPr>
          <w:rFonts w:ascii="Arial" w:hAnsi="Arial" w:cs="Arial"/>
          <w:sz w:val="22"/>
          <w:szCs w:val="22"/>
        </w:rPr>
      </w:pPr>
      <w:r>
        <w:rPr>
          <w:rFonts w:ascii="Arial" w:hAnsi="Arial" w:cs="Arial"/>
          <w:sz w:val="22"/>
          <w:szCs w:val="22"/>
        </w:rPr>
        <w:t xml:space="preserve">The difference in mean bonus pay is </w:t>
      </w:r>
      <w:r w:rsidR="00E151A1">
        <w:rPr>
          <w:rFonts w:ascii="Arial" w:hAnsi="Arial" w:cs="Arial"/>
          <w:sz w:val="22"/>
          <w:szCs w:val="22"/>
        </w:rPr>
        <w:t>reflective of the distribution of female employees across each pay quartile</w:t>
      </w:r>
      <w:r>
        <w:rPr>
          <w:rFonts w:ascii="Arial" w:hAnsi="Arial" w:cs="Arial"/>
          <w:sz w:val="22"/>
          <w:szCs w:val="22"/>
        </w:rPr>
        <w:t>.</w:t>
      </w:r>
    </w:p>
    <w:p w:rsidR="000B29D1" w:rsidRDefault="000B29D1" w:rsidP="005D72DD">
      <w:pPr>
        <w:pStyle w:val="Default"/>
        <w:rPr>
          <w:rFonts w:ascii="Arial" w:hAnsi="Arial" w:cs="Arial"/>
          <w:sz w:val="22"/>
          <w:szCs w:val="22"/>
        </w:rPr>
      </w:pPr>
    </w:p>
    <w:p w:rsidR="000B29D1" w:rsidRDefault="00E151A1" w:rsidP="005D72DD">
      <w:pPr>
        <w:pStyle w:val="Default"/>
        <w:rPr>
          <w:rFonts w:ascii="Arial" w:hAnsi="Arial" w:cs="Arial"/>
          <w:sz w:val="22"/>
          <w:szCs w:val="22"/>
        </w:rPr>
      </w:pPr>
      <w:r>
        <w:rPr>
          <w:rFonts w:ascii="Arial" w:hAnsi="Arial" w:cs="Arial"/>
          <w:sz w:val="22"/>
          <w:szCs w:val="22"/>
        </w:rPr>
        <w:t>Population groups within the business can have different bonus opportunities and in the reporting year, the median female bonus was higher than the median male bonus.</w:t>
      </w:r>
      <w:r w:rsidRPr="00E151A1">
        <w:rPr>
          <w:rFonts w:ascii="Arial" w:hAnsi="Arial" w:cs="Arial"/>
          <w:sz w:val="22"/>
          <w:szCs w:val="22"/>
        </w:rPr>
        <w:t xml:space="preserve"> The median bonus reflects the middle ranking bonus payment and for the period being reviewed</w:t>
      </w:r>
    </w:p>
    <w:p w:rsidR="005D72DD" w:rsidRDefault="005D72DD" w:rsidP="005D72DD">
      <w:pPr>
        <w:pStyle w:val="Default"/>
        <w:rPr>
          <w:rFonts w:ascii="Arial" w:hAnsi="Arial" w:cs="Arial"/>
          <w:sz w:val="22"/>
          <w:szCs w:val="22"/>
        </w:rPr>
      </w:pPr>
    </w:p>
    <w:p w:rsidR="00326A1D" w:rsidRPr="00767020" w:rsidRDefault="00326A1D" w:rsidP="00326A1D">
      <w:pPr>
        <w:pStyle w:val="Default"/>
        <w:rPr>
          <w:rFonts w:ascii="Arial" w:hAnsi="Arial" w:cs="Arial"/>
          <w:b/>
          <w:bCs/>
          <w:sz w:val="28"/>
          <w:szCs w:val="28"/>
        </w:rPr>
      </w:pPr>
      <w:r w:rsidRPr="00767020">
        <w:rPr>
          <w:rFonts w:ascii="Arial" w:hAnsi="Arial" w:cs="Arial"/>
          <w:b/>
          <w:bCs/>
          <w:sz w:val="28"/>
          <w:szCs w:val="28"/>
        </w:rPr>
        <w:t>Going Forward ……</w:t>
      </w:r>
    </w:p>
    <w:p w:rsidR="00326A1D" w:rsidRPr="00326A1D" w:rsidRDefault="00326A1D" w:rsidP="00326A1D">
      <w:pPr>
        <w:pStyle w:val="Default"/>
        <w:rPr>
          <w:rFonts w:ascii="Arial" w:hAnsi="Arial" w:cs="Arial"/>
          <w:b/>
          <w:bCs/>
        </w:rPr>
      </w:pPr>
    </w:p>
    <w:p w:rsidR="00326A1D" w:rsidRDefault="00326A1D" w:rsidP="00326A1D">
      <w:pPr>
        <w:pStyle w:val="Default"/>
        <w:rPr>
          <w:rFonts w:ascii="Arial" w:hAnsi="Arial" w:cs="Arial"/>
          <w:bCs/>
          <w:sz w:val="22"/>
          <w:szCs w:val="22"/>
        </w:rPr>
      </w:pPr>
      <w:r w:rsidRPr="00326A1D">
        <w:rPr>
          <w:rFonts w:ascii="Arial" w:hAnsi="Arial" w:cs="Arial"/>
          <w:bCs/>
          <w:sz w:val="22"/>
          <w:szCs w:val="22"/>
        </w:rPr>
        <w:t xml:space="preserve">As an </w:t>
      </w:r>
      <w:proofErr w:type="gramStart"/>
      <w:r w:rsidRPr="00326A1D">
        <w:rPr>
          <w:rFonts w:ascii="Arial" w:hAnsi="Arial" w:cs="Arial"/>
          <w:bCs/>
          <w:sz w:val="22"/>
          <w:szCs w:val="22"/>
        </w:rPr>
        <w:t>organisation</w:t>
      </w:r>
      <w:proofErr w:type="gramEnd"/>
      <w:r w:rsidRPr="00326A1D">
        <w:rPr>
          <w:rFonts w:ascii="Arial" w:hAnsi="Arial" w:cs="Arial"/>
          <w:bCs/>
          <w:sz w:val="22"/>
          <w:szCs w:val="22"/>
        </w:rPr>
        <w:t xml:space="preserve"> we are confident that our existing policies regarding recruitment, reward, maternity and flexible working al</w:t>
      </w:r>
      <w:r>
        <w:rPr>
          <w:rFonts w:ascii="Arial" w:hAnsi="Arial" w:cs="Arial"/>
          <w:bCs/>
          <w:sz w:val="22"/>
          <w:szCs w:val="22"/>
        </w:rPr>
        <w:t>l</w:t>
      </w:r>
      <w:r w:rsidRPr="00326A1D">
        <w:rPr>
          <w:rFonts w:ascii="Arial" w:hAnsi="Arial" w:cs="Arial"/>
          <w:bCs/>
          <w:sz w:val="22"/>
          <w:szCs w:val="22"/>
        </w:rPr>
        <w:t xml:space="preserve"> contribute to our ability to attract and retai</w:t>
      </w:r>
      <w:r w:rsidR="00B23462">
        <w:rPr>
          <w:rFonts w:ascii="Arial" w:hAnsi="Arial" w:cs="Arial"/>
          <w:bCs/>
          <w:sz w:val="22"/>
          <w:szCs w:val="22"/>
        </w:rPr>
        <w:t>n</w:t>
      </w:r>
      <w:r w:rsidR="00E151A1">
        <w:rPr>
          <w:rFonts w:ascii="Arial" w:hAnsi="Arial" w:cs="Arial"/>
          <w:bCs/>
          <w:sz w:val="22"/>
          <w:szCs w:val="22"/>
        </w:rPr>
        <w:t xml:space="preserve"> women within our organisation and early indications for the next reporting year show that progress is being made in the recruitment balance.</w:t>
      </w:r>
    </w:p>
    <w:p w:rsidR="00326A1D" w:rsidRPr="00326A1D" w:rsidRDefault="00326A1D" w:rsidP="00326A1D">
      <w:pPr>
        <w:pStyle w:val="Default"/>
        <w:rPr>
          <w:rFonts w:ascii="Arial" w:hAnsi="Arial" w:cs="Arial"/>
          <w:bCs/>
          <w:sz w:val="22"/>
          <w:szCs w:val="22"/>
        </w:rPr>
      </w:pPr>
    </w:p>
    <w:p w:rsidR="005D72DD" w:rsidRPr="00326A1D" w:rsidRDefault="00326A1D" w:rsidP="00326A1D">
      <w:pPr>
        <w:pStyle w:val="Default"/>
        <w:rPr>
          <w:rFonts w:ascii="Arial" w:hAnsi="Arial" w:cs="Arial"/>
          <w:bCs/>
          <w:sz w:val="22"/>
          <w:szCs w:val="22"/>
        </w:rPr>
      </w:pPr>
      <w:r w:rsidRPr="00326A1D">
        <w:rPr>
          <w:rFonts w:ascii="Arial" w:hAnsi="Arial" w:cs="Arial"/>
          <w:bCs/>
          <w:sz w:val="22"/>
          <w:szCs w:val="22"/>
        </w:rPr>
        <w:t xml:space="preserve">We </w:t>
      </w:r>
      <w:r>
        <w:rPr>
          <w:rFonts w:ascii="Arial" w:hAnsi="Arial" w:cs="Arial"/>
          <w:bCs/>
          <w:sz w:val="22"/>
          <w:szCs w:val="22"/>
        </w:rPr>
        <w:t>will continue and extend the work we do with</w:t>
      </w:r>
      <w:r w:rsidRPr="00326A1D">
        <w:rPr>
          <w:rFonts w:ascii="Arial" w:hAnsi="Arial" w:cs="Arial"/>
          <w:bCs/>
          <w:sz w:val="22"/>
          <w:szCs w:val="22"/>
        </w:rPr>
        <w:t xml:space="preserve"> local schools to promote and encourage</w:t>
      </w:r>
      <w:r w:rsidR="00B23462">
        <w:rPr>
          <w:rFonts w:ascii="Arial" w:hAnsi="Arial" w:cs="Arial"/>
          <w:bCs/>
          <w:sz w:val="22"/>
          <w:szCs w:val="22"/>
        </w:rPr>
        <w:t xml:space="preserve"> a more balanced</w:t>
      </w:r>
      <w:r w:rsidRPr="00326A1D">
        <w:rPr>
          <w:rFonts w:ascii="Arial" w:hAnsi="Arial" w:cs="Arial"/>
          <w:bCs/>
          <w:sz w:val="22"/>
          <w:szCs w:val="22"/>
        </w:rPr>
        <w:t xml:space="preserve"> take up of STEM curriculum subjects.</w:t>
      </w:r>
      <w:r w:rsidR="003F2AD1">
        <w:rPr>
          <w:rFonts w:ascii="Arial" w:hAnsi="Arial" w:cs="Arial"/>
          <w:bCs/>
          <w:sz w:val="22"/>
          <w:szCs w:val="22"/>
        </w:rPr>
        <w:t xml:space="preserve"> </w:t>
      </w:r>
      <w:r w:rsidRPr="00326A1D">
        <w:rPr>
          <w:rFonts w:ascii="Arial" w:hAnsi="Arial" w:cs="Arial"/>
          <w:bCs/>
          <w:sz w:val="22"/>
          <w:szCs w:val="22"/>
        </w:rPr>
        <w:t xml:space="preserve"> </w:t>
      </w:r>
    </w:p>
    <w:p w:rsidR="005D72DD" w:rsidRPr="00326A1D" w:rsidRDefault="005D72DD" w:rsidP="00EF100B">
      <w:pPr>
        <w:pStyle w:val="Default"/>
        <w:rPr>
          <w:bCs/>
          <w:sz w:val="22"/>
          <w:szCs w:val="22"/>
        </w:rPr>
      </w:pPr>
    </w:p>
    <w:p w:rsidR="00AE7CBF" w:rsidRDefault="00300ABF" w:rsidP="00EF100B">
      <w:pPr>
        <w:pStyle w:val="Default"/>
        <w:rPr>
          <w:noProof/>
          <w:lang w:eastAsia="en-G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7CBF">
        <w:rPr>
          <w:noProof/>
          <w:lang w:eastAsia="en-GB"/>
        </w:rPr>
        <w:t xml:space="preserve">                             </w:t>
      </w:r>
    </w:p>
    <w:p w:rsidR="00767020" w:rsidRDefault="00AE7CBF" w:rsidP="00EF100B">
      <w:pPr>
        <w:pStyle w:val="Default"/>
        <w:rPr>
          <w:sz w:val="22"/>
          <w:szCs w:val="22"/>
        </w:rPr>
      </w:pPr>
      <w:r>
        <w:rPr>
          <w:noProof/>
          <w:lang w:eastAsia="en-GB"/>
        </w:rPr>
        <w:drawing>
          <wp:inline distT="0" distB="0" distL="0" distR="0" wp14:anchorId="084B8710" wp14:editId="54891BBF">
            <wp:extent cx="2047875" cy="65659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50490" cy="689490"/>
                    </a:xfrm>
                    <a:prstGeom prst="rect">
                      <a:avLst/>
                    </a:prstGeom>
                  </pic:spPr>
                </pic:pic>
              </a:graphicData>
            </a:graphic>
          </wp:inline>
        </w:drawing>
      </w:r>
      <w:r>
        <w:rPr>
          <w:sz w:val="22"/>
          <w:szCs w:val="22"/>
        </w:rPr>
        <w:t xml:space="preserve">  </w:t>
      </w:r>
      <w:r>
        <w:rPr>
          <w:sz w:val="22"/>
          <w:szCs w:val="22"/>
        </w:rPr>
        <w:tab/>
      </w:r>
      <w:r>
        <w:rPr>
          <w:sz w:val="22"/>
          <w:szCs w:val="22"/>
        </w:rPr>
        <w:tab/>
      </w:r>
      <w:r>
        <w:rPr>
          <w:noProof/>
          <w:lang w:eastAsia="en-GB"/>
        </w:rPr>
        <w:drawing>
          <wp:inline distT="0" distB="0" distL="0" distR="0" wp14:anchorId="21023C8C" wp14:editId="6DD98E1D">
            <wp:extent cx="2397430" cy="608965"/>
            <wp:effectExtent l="0" t="0" r="317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78016" cy="654835"/>
                    </a:xfrm>
                    <a:prstGeom prst="rect">
                      <a:avLst/>
                    </a:prstGeom>
                  </pic:spPr>
                </pic:pic>
              </a:graphicData>
            </a:graphic>
          </wp:inline>
        </w:drawing>
      </w:r>
    </w:p>
    <w:p w:rsidR="00767020" w:rsidRDefault="00767020" w:rsidP="00767020">
      <w:pPr>
        <w:pStyle w:val="Default"/>
        <w:rPr>
          <w:sz w:val="22"/>
          <w:szCs w:val="22"/>
        </w:rPr>
      </w:pPr>
      <w:r>
        <w:rPr>
          <w:sz w:val="22"/>
          <w:szCs w:val="22"/>
        </w:rPr>
        <w:tab/>
      </w:r>
      <w:r>
        <w:rPr>
          <w:sz w:val="22"/>
          <w:szCs w:val="22"/>
        </w:rPr>
        <w:tab/>
      </w:r>
      <w:r>
        <w:rPr>
          <w:sz w:val="22"/>
          <w:szCs w:val="22"/>
        </w:rPr>
        <w:tab/>
      </w:r>
      <w:r w:rsidR="00AE7CBF">
        <w:rPr>
          <w:sz w:val="22"/>
          <w:szCs w:val="22"/>
        </w:rPr>
        <w:tab/>
      </w:r>
      <w:r w:rsidR="00AE7CBF">
        <w:rPr>
          <w:sz w:val="22"/>
          <w:szCs w:val="22"/>
        </w:rPr>
        <w:tab/>
      </w:r>
      <w:r w:rsidR="00AE7CBF">
        <w:rPr>
          <w:sz w:val="22"/>
          <w:szCs w:val="22"/>
        </w:rPr>
        <w:tab/>
      </w:r>
      <w:r w:rsidR="00AE7CBF">
        <w:rPr>
          <w:sz w:val="22"/>
          <w:szCs w:val="22"/>
        </w:rPr>
        <w:tab/>
      </w:r>
      <w:r>
        <w:rPr>
          <w:sz w:val="22"/>
          <w:szCs w:val="22"/>
        </w:rPr>
        <w:t>………………………………………………..</w:t>
      </w:r>
    </w:p>
    <w:p w:rsidR="00767020" w:rsidRDefault="00767020" w:rsidP="00EF100B">
      <w:pPr>
        <w:pStyle w:val="Default"/>
        <w:rPr>
          <w:sz w:val="22"/>
          <w:szCs w:val="22"/>
        </w:rPr>
      </w:pPr>
    </w:p>
    <w:p w:rsidR="00767020" w:rsidRPr="00326A1D" w:rsidRDefault="00767020" w:rsidP="00EF100B">
      <w:pPr>
        <w:pStyle w:val="Default"/>
        <w:rPr>
          <w:sz w:val="22"/>
          <w:szCs w:val="22"/>
        </w:rPr>
      </w:pPr>
    </w:p>
    <w:tbl>
      <w:tblPr>
        <w:tblW w:w="9423" w:type="dxa"/>
        <w:tblInd w:w="-108" w:type="dxa"/>
        <w:tblBorders>
          <w:top w:val="nil"/>
          <w:left w:val="nil"/>
          <w:bottom w:val="nil"/>
          <w:right w:val="nil"/>
        </w:tblBorders>
        <w:tblLayout w:type="fixed"/>
        <w:tblLook w:val="0000" w:firstRow="0" w:lastRow="0" w:firstColumn="0" w:lastColumn="0" w:noHBand="0" w:noVBand="0"/>
      </w:tblPr>
      <w:tblGrid>
        <w:gridCol w:w="5070"/>
        <w:gridCol w:w="4353"/>
      </w:tblGrid>
      <w:tr w:rsidR="00767020" w:rsidRPr="00767020" w:rsidTr="00767020">
        <w:trPr>
          <w:trHeight w:val="497"/>
        </w:trPr>
        <w:tc>
          <w:tcPr>
            <w:tcW w:w="5070" w:type="dxa"/>
          </w:tcPr>
          <w:p w:rsidR="00767020" w:rsidRPr="00767020" w:rsidRDefault="00767020" w:rsidP="00767020">
            <w:pPr>
              <w:autoSpaceDE w:val="0"/>
              <w:autoSpaceDN w:val="0"/>
              <w:adjustRightInd w:val="0"/>
              <w:spacing w:after="0" w:line="240" w:lineRule="auto"/>
              <w:rPr>
                <w:rFonts w:ascii="Arial" w:hAnsi="Arial" w:cs="Arial"/>
                <w:color w:val="000000"/>
                <w:sz w:val="20"/>
                <w:szCs w:val="20"/>
              </w:rPr>
            </w:pPr>
            <w:r w:rsidRPr="00767020">
              <w:rPr>
                <w:rFonts w:ascii="Arial" w:hAnsi="Arial" w:cs="Arial"/>
                <w:b/>
                <w:bCs/>
                <w:color w:val="000000"/>
                <w:sz w:val="20"/>
                <w:szCs w:val="20"/>
              </w:rPr>
              <w:t xml:space="preserve">Declaration </w:t>
            </w:r>
          </w:p>
          <w:p w:rsidR="00767020" w:rsidRPr="00767020" w:rsidRDefault="00767020" w:rsidP="00767020">
            <w:pPr>
              <w:autoSpaceDE w:val="0"/>
              <w:autoSpaceDN w:val="0"/>
              <w:adjustRightInd w:val="0"/>
              <w:spacing w:after="0" w:line="240" w:lineRule="auto"/>
              <w:rPr>
                <w:rFonts w:ascii="Arial" w:hAnsi="Arial" w:cs="Arial"/>
                <w:color w:val="000000"/>
                <w:sz w:val="16"/>
                <w:szCs w:val="16"/>
              </w:rPr>
            </w:pPr>
            <w:r w:rsidRPr="00767020">
              <w:rPr>
                <w:rFonts w:ascii="Arial" w:hAnsi="Arial" w:cs="Arial"/>
                <w:color w:val="000000"/>
                <w:sz w:val="16"/>
                <w:szCs w:val="16"/>
              </w:rPr>
              <w:t xml:space="preserve">I confirm that our data has been calculated according to the requirements of the </w:t>
            </w:r>
            <w:r w:rsidRPr="00767020">
              <w:rPr>
                <w:rFonts w:ascii="Arial" w:hAnsi="Arial" w:cs="Arial"/>
                <w:b/>
                <w:bCs/>
                <w:color w:val="000000"/>
                <w:sz w:val="16"/>
                <w:szCs w:val="16"/>
              </w:rPr>
              <w:t xml:space="preserve">Equality Act 2010 </w:t>
            </w:r>
          </w:p>
          <w:p w:rsidR="00767020" w:rsidRPr="00767020" w:rsidRDefault="00767020" w:rsidP="00767020">
            <w:pPr>
              <w:autoSpaceDE w:val="0"/>
              <w:autoSpaceDN w:val="0"/>
              <w:adjustRightInd w:val="0"/>
              <w:spacing w:after="0" w:line="240" w:lineRule="auto"/>
              <w:rPr>
                <w:rFonts w:ascii="Arial" w:hAnsi="Arial" w:cs="Arial"/>
                <w:color w:val="000000"/>
                <w:sz w:val="16"/>
                <w:szCs w:val="16"/>
              </w:rPr>
            </w:pPr>
            <w:r w:rsidRPr="00767020">
              <w:rPr>
                <w:rFonts w:ascii="Arial" w:hAnsi="Arial" w:cs="Arial"/>
                <w:color w:val="000000"/>
                <w:sz w:val="16"/>
                <w:szCs w:val="16"/>
              </w:rPr>
              <w:t xml:space="preserve">(Gender Pay Gap Information) Regulations 2017. </w:t>
            </w:r>
          </w:p>
          <w:p w:rsidR="00767020" w:rsidRPr="00767020" w:rsidRDefault="00767020" w:rsidP="0076702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Andrew Gardner</w:t>
            </w:r>
            <w:r w:rsidRPr="00767020">
              <w:rPr>
                <w:rFonts w:ascii="Arial" w:hAnsi="Arial" w:cs="Arial"/>
                <w:color w:val="000000"/>
                <w:sz w:val="16"/>
                <w:szCs w:val="16"/>
              </w:rPr>
              <w:t xml:space="preserve">, CEO </w:t>
            </w:r>
            <w:r>
              <w:rPr>
                <w:rFonts w:ascii="Arial" w:hAnsi="Arial" w:cs="Arial"/>
                <w:color w:val="000000"/>
                <w:sz w:val="16"/>
                <w:szCs w:val="16"/>
              </w:rPr>
              <w:t>INEOS FPS</w:t>
            </w:r>
          </w:p>
        </w:tc>
        <w:tc>
          <w:tcPr>
            <w:tcW w:w="4353" w:type="dxa"/>
          </w:tcPr>
          <w:p w:rsidR="00767020" w:rsidRPr="00767020" w:rsidRDefault="00767020" w:rsidP="00767020">
            <w:pPr>
              <w:autoSpaceDE w:val="0"/>
              <w:autoSpaceDN w:val="0"/>
              <w:adjustRightInd w:val="0"/>
              <w:spacing w:after="0" w:line="240" w:lineRule="auto"/>
              <w:rPr>
                <w:rFonts w:ascii="Arial" w:hAnsi="Arial" w:cs="Arial"/>
                <w:color w:val="000000"/>
                <w:sz w:val="20"/>
                <w:szCs w:val="20"/>
              </w:rPr>
            </w:pPr>
            <w:r w:rsidRPr="00767020">
              <w:rPr>
                <w:rFonts w:ascii="Arial" w:hAnsi="Arial" w:cs="Arial"/>
                <w:b/>
                <w:bCs/>
                <w:color w:val="000000"/>
                <w:sz w:val="20"/>
                <w:szCs w:val="20"/>
              </w:rPr>
              <w:t xml:space="preserve">Declaration </w:t>
            </w:r>
          </w:p>
          <w:p w:rsidR="00767020" w:rsidRPr="00767020" w:rsidRDefault="00767020" w:rsidP="00767020">
            <w:pPr>
              <w:autoSpaceDE w:val="0"/>
              <w:autoSpaceDN w:val="0"/>
              <w:adjustRightInd w:val="0"/>
              <w:spacing w:after="0" w:line="240" w:lineRule="auto"/>
              <w:rPr>
                <w:rFonts w:ascii="Arial" w:hAnsi="Arial" w:cs="Arial"/>
                <w:color w:val="000000"/>
                <w:sz w:val="16"/>
                <w:szCs w:val="16"/>
              </w:rPr>
            </w:pPr>
            <w:r w:rsidRPr="00767020">
              <w:rPr>
                <w:rFonts w:ascii="Arial" w:hAnsi="Arial" w:cs="Arial"/>
                <w:color w:val="000000"/>
                <w:sz w:val="16"/>
                <w:szCs w:val="16"/>
              </w:rPr>
              <w:t xml:space="preserve">I confirm that our data has been calculated according to the requirements of the </w:t>
            </w:r>
            <w:r w:rsidRPr="00767020">
              <w:rPr>
                <w:rFonts w:ascii="Arial" w:hAnsi="Arial" w:cs="Arial"/>
                <w:b/>
                <w:bCs/>
                <w:color w:val="000000"/>
                <w:sz w:val="16"/>
                <w:szCs w:val="16"/>
              </w:rPr>
              <w:t xml:space="preserve">Equality Act 2010 </w:t>
            </w:r>
          </w:p>
          <w:p w:rsidR="00767020" w:rsidRDefault="00767020" w:rsidP="00767020">
            <w:pPr>
              <w:autoSpaceDE w:val="0"/>
              <w:autoSpaceDN w:val="0"/>
              <w:adjustRightInd w:val="0"/>
              <w:spacing w:after="0" w:line="240" w:lineRule="auto"/>
              <w:rPr>
                <w:rFonts w:ascii="Arial" w:hAnsi="Arial" w:cs="Arial"/>
                <w:color w:val="000000"/>
                <w:sz w:val="16"/>
                <w:szCs w:val="16"/>
              </w:rPr>
            </w:pPr>
            <w:r w:rsidRPr="00767020">
              <w:rPr>
                <w:rFonts w:ascii="Arial" w:hAnsi="Arial" w:cs="Arial"/>
                <w:color w:val="000000"/>
                <w:sz w:val="16"/>
                <w:szCs w:val="16"/>
              </w:rPr>
              <w:t xml:space="preserve">(Gender Pay Gap Information </w:t>
            </w:r>
          </w:p>
          <w:p w:rsidR="00767020" w:rsidRPr="00767020" w:rsidRDefault="00767020" w:rsidP="00767020">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Terry Banham, HR Director, INEOS FPS</w:t>
            </w:r>
          </w:p>
        </w:tc>
      </w:tr>
    </w:tbl>
    <w:p w:rsidR="00EF100B" w:rsidRDefault="00EF100B" w:rsidP="000E7DBA">
      <w:pPr>
        <w:jc w:val="center"/>
        <w:rPr>
          <w:b/>
        </w:rPr>
      </w:pPr>
    </w:p>
    <w:sectPr w:rsidR="00EF100B" w:rsidSect="00CD4867">
      <w:pgSz w:w="11906" w:h="16838"/>
      <w:pgMar w:top="567"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81"/>
    <w:rsid w:val="00017458"/>
    <w:rsid w:val="000B29D1"/>
    <w:rsid w:val="000D3E1F"/>
    <w:rsid w:val="000D65EB"/>
    <w:rsid w:val="000E7DBA"/>
    <w:rsid w:val="00122B6C"/>
    <w:rsid w:val="00150313"/>
    <w:rsid w:val="00155D32"/>
    <w:rsid w:val="001D2443"/>
    <w:rsid w:val="001D6AC2"/>
    <w:rsid w:val="00285F54"/>
    <w:rsid w:val="002A3DC5"/>
    <w:rsid w:val="002C5002"/>
    <w:rsid w:val="00300ABF"/>
    <w:rsid w:val="00326A1D"/>
    <w:rsid w:val="00350E79"/>
    <w:rsid w:val="0038641A"/>
    <w:rsid w:val="00394018"/>
    <w:rsid w:val="00397C49"/>
    <w:rsid w:val="003D08AA"/>
    <w:rsid w:val="003F2AD1"/>
    <w:rsid w:val="00407DA6"/>
    <w:rsid w:val="004843A2"/>
    <w:rsid w:val="004E2A5D"/>
    <w:rsid w:val="005D72DD"/>
    <w:rsid w:val="00601C9D"/>
    <w:rsid w:val="006538A0"/>
    <w:rsid w:val="006745FA"/>
    <w:rsid w:val="007402ED"/>
    <w:rsid w:val="0076143B"/>
    <w:rsid w:val="00767020"/>
    <w:rsid w:val="007916B9"/>
    <w:rsid w:val="007C6347"/>
    <w:rsid w:val="007F1A52"/>
    <w:rsid w:val="00820825"/>
    <w:rsid w:val="00835F6C"/>
    <w:rsid w:val="008445F6"/>
    <w:rsid w:val="00896D97"/>
    <w:rsid w:val="008C1B73"/>
    <w:rsid w:val="008F297A"/>
    <w:rsid w:val="00912A81"/>
    <w:rsid w:val="009405A2"/>
    <w:rsid w:val="00985E34"/>
    <w:rsid w:val="009B2C22"/>
    <w:rsid w:val="00A13B33"/>
    <w:rsid w:val="00A72D28"/>
    <w:rsid w:val="00AE7CBF"/>
    <w:rsid w:val="00B23462"/>
    <w:rsid w:val="00B93F56"/>
    <w:rsid w:val="00BB428F"/>
    <w:rsid w:val="00BE3DC6"/>
    <w:rsid w:val="00C402C4"/>
    <w:rsid w:val="00CD4867"/>
    <w:rsid w:val="00D8779C"/>
    <w:rsid w:val="00DA5DA6"/>
    <w:rsid w:val="00DF148B"/>
    <w:rsid w:val="00DF5616"/>
    <w:rsid w:val="00E151A1"/>
    <w:rsid w:val="00E32272"/>
    <w:rsid w:val="00E633E4"/>
    <w:rsid w:val="00EB7947"/>
    <w:rsid w:val="00EE62FA"/>
    <w:rsid w:val="00EF100B"/>
    <w:rsid w:val="00F36982"/>
    <w:rsid w:val="00F50A96"/>
    <w:rsid w:val="00F77F6E"/>
    <w:rsid w:val="00F943A2"/>
    <w:rsid w:val="00F9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68E7-5768-4ABC-A66A-22C9ABC0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2A8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912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0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6541">
      <w:bodyDiv w:val="1"/>
      <w:marLeft w:val="0"/>
      <w:marRight w:val="0"/>
      <w:marTop w:val="0"/>
      <w:marBottom w:val="0"/>
      <w:divBdr>
        <w:top w:val="none" w:sz="0" w:space="0" w:color="auto"/>
        <w:left w:val="none" w:sz="0" w:space="0" w:color="auto"/>
        <w:bottom w:val="none" w:sz="0" w:space="0" w:color="auto"/>
        <w:right w:val="none" w:sz="0" w:space="0" w:color="auto"/>
      </w:divBdr>
    </w:div>
    <w:div w:id="1074543311">
      <w:bodyDiv w:val="1"/>
      <w:marLeft w:val="0"/>
      <w:marRight w:val="0"/>
      <w:marTop w:val="0"/>
      <w:marBottom w:val="0"/>
      <w:divBdr>
        <w:top w:val="none" w:sz="0" w:space="0" w:color="auto"/>
        <w:left w:val="none" w:sz="0" w:space="0" w:color="auto"/>
        <w:bottom w:val="none" w:sz="0" w:space="0" w:color="auto"/>
        <w:right w:val="none" w:sz="0" w:space="0" w:color="auto"/>
      </w:divBdr>
    </w:div>
    <w:div w:id="1303846434">
      <w:bodyDiv w:val="1"/>
      <w:marLeft w:val="0"/>
      <w:marRight w:val="0"/>
      <w:marTop w:val="0"/>
      <w:marBottom w:val="0"/>
      <w:divBdr>
        <w:top w:val="none" w:sz="0" w:space="0" w:color="auto"/>
        <w:left w:val="none" w:sz="0" w:space="0" w:color="auto"/>
        <w:bottom w:val="none" w:sz="0" w:space="0" w:color="auto"/>
        <w:right w:val="none" w:sz="0" w:space="0" w:color="auto"/>
      </w:divBdr>
    </w:div>
    <w:div w:id="1895118140">
      <w:bodyDiv w:val="1"/>
      <w:marLeft w:val="0"/>
      <w:marRight w:val="0"/>
      <w:marTop w:val="0"/>
      <w:marBottom w:val="0"/>
      <w:divBdr>
        <w:top w:val="none" w:sz="0" w:space="0" w:color="auto"/>
        <w:left w:val="none" w:sz="0" w:space="0" w:color="auto"/>
        <w:bottom w:val="none" w:sz="0" w:space="0" w:color="auto"/>
        <w:right w:val="none" w:sz="0" w:space="0" w:color="auto"/>
      </w:divBdr>
    </w:div>
    <w:div w:id="19738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png"/><Relationship Id="rId5" Type="http://schemas.openxmlformats.org/officeDocument/2006/relationships/image" Target="media/image2.emf"/><Relationship Id="rId10" Type="http://schemas.openxmlformats.org/officeDocument/2006/relationships/image" Target="media/image7.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INEOS</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Steven A</dc:creator>
  <cp:keywords/>
  <dc:description/>
  <cp:lastModifiedBy>Gray, Natalie</cp:lastModifiedBy>
  <cp:revision>3</cp:revision>
  <cp:lastPrinted>2025-04-02T08:06:00Z</cp:lastPrinted>
  <dcterms:created xsi:type="dcterms:W3CDTF">2025-04-01T14:18:00Z</dcterms:created>
  <dcterms:modified xsi:type="dcterms:W3CDTF">2025-04-01T14:46:00Z</dcterms:modified>
</cp:coreProperties>
</file>