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28" w:rsidRPr="00D70728" w:rsidRDefault="00D70728" w:rsidP="00D70728">
      <w:pPr>
        <w:pStyle w:val="Heading2"/>
        <w:rPr>
          <w:sz w:val="36"/>
        </w:rPr>
      </w:pPr>
      <w:r w:rsidRPr="00D70728">
        <w:rPr>
          <w:sz w:val="36"/>
        </w:rPr>
        <w:t>Access to Breagh Infrastructure</w:t>
      </w:r>
    </w:p>
    <w:p w:rsidR="003F2CC1" w:rsidRDefault="00A84588" w:rsidP="00DA0575">
      <w:pPr>
        <w:jc w:val="both"/>
        <w:rPr>
          <w:sz w:val="20"/>
        </w:rPr>
      </w:pPr>
      <w:r>
        <w:rPr>
          <w:sz w:val="20"/>
        </w:rPr>
        <w:t xml:space="preserve">The </w:t>
      </w:r>
      <w:r w:rsidR="00B511EE">
        <w:rPr>
          <w:sz w:val="20"/>
        </w:rPr>
        <w:t>Breagh</w:t>
      </w:r>
      <w:r w:rsidR="00B511EE" w:rsidRPr="00B511EE">
        <w:rPr>
          <w:sz w:val="20"/>
        </w:rPr>
        <w:t xml:space="preserve"> </w:t>
      </w:r>
      <w:r>
        <w:rPr>
          <w:sz w:val="20"/>
        </w:rPr>
        <w:t xml:space="preserve">field </w:t>
      </w:r>
      <w:r w:rsidR="00B511EE">
        <w:rPr>
          <w:sz w:val="20"/>
        </w:rPr>
        <w:t>is</w:t>
      </w:r>
      <w:r w:rsidR="00B511EE" w:rsidRPr="00B511EE">
        <w:rPr>
          <w:sz w:val="20"/>
        </w:rPr>
        <w:t xml:space="preserve"> tied back to a normally unmanned installation (NUI) on the western area of the field.</w:t>
      </w:r>
      <w:r w:rsidR="00B511EE">
        <w:rPr>
          <w:sz w:val="20"/>
        </w:rPr>
        <w:t xml:space="preserve"> </w:t>
      </w:r>
      <w:r w:rsidR="003F2CC1" w:rsidRPr="003F2CC1">
        <w:rPr>
          <w:sz w:val="20"/>
        </w:rPr>
        <w:t>The Breagh A offshore platform</w:t>
      </w:r>
      <w:r w:rsidR="00B511EE">
        <w:rPr>
          <w:sz w:val="20"/>
        </w:rPr>
        <w:t xml:space="preserve"> </w:t>
      </w:r>
      <w:r w:rsidR="001C1382">
        <w:rPr>
          <w:sz w:val="20"/>
        </w:rPr>
        <w:t xml:space="preserve">transports the </w:t>
      </w:r>
      <w:r w:rsidR="006073C9">
        <w:rPr>
          <w:sz w:val="20"/>
        </w:rPr>
        <w:t xml:space="preserve">produced </w:t>
      </w:r>
      <w:r w:rsidR="001C1382">
        <w:rPr>
          <w:sz w:val="20"/>
        </w:rPr>
        <w:t>fluids through the Breagh 20” export pipeline</w:t>
      </w:r>
      <w:r w:rsidR="003F2CC1" w:rsidRPr="003F2CC1">
        <w:rPr>
          <w:sz w:val="20"/>
        </w:rPr>
        <w:t xml:space="preserve"> </w:t>
      </w:r>
      <w:r w:rsidR="001C1382">
        <w:rPr>
          <w:sz w:val="20"/>
        </w:rPr>
        <w:t xml:space="preserve">to the </w:t>
      </w:r>
      <w:r>
        <w:rPr>
          <w:sz w:val="20"/>
        </w:rPr>
        <w:t xml:space="preserve">onshore </w:t>
      </w:r>
      <w:r w:rsidRPr="00A84588">
        <w:rPr>
          <w:sz w:val="20"/>
        </w:rPr>
        <w:t xml:space="preserve">Teesside Gas Processing Plant </w:t>
      </w:r>
      <w:r>
        <w:rPr>
          <w:sz w:val="20"/>
        </w:rPr>
        <w:t>(</w:t>
      </w:r>
      <w:r w:rsidR="001C1382">
        <w:rPr>
          <w:sz w:val="20"/>
        </w:rPr>
        <w:t>TGPP</w:t>
      </w:r>
      <w:r>
        <w:rPr>
          <w:sz w:val="20"/>
        </w:rPr>
        <w:t>),</w:t>
      </w:r>
      <w:r w:rsidR="001C1382">
        <w:rPr>
          <w:sz w:val="20"/>
        </w:rPr>
        <w:t xml:space="preserve"> for</w:t>
      </w:r>
      <w:r w:rsidR="003F2CC1" w:rsidRPr="003F2CC1">
        <w:rPr>
          <w:sz w:val="20"/>
        </w:rPr>
        <w:t xml:space="preserve"> process treatm</w:t>
      </w:r>
      <w:r w:rsidR="00B511EE">
        <w:rPr>
          <w:sz w:val="20"/>
        </w:rPr>
        <w:t xml:space="preserve">ent, fiscal metering and sale. </w:t>
      </w:r>
      <w:r w:rsidR="00B511EE" w:rsidRPr="00B511EE">
        <w:rPr>
          <w:sz w:val="20"/>
        </w:rPr>
        <w:t xml:space="preserve">A second phase of </w:t>
      </w:r>
      <w:r>
        <w:rPr>
          <w:sz w:val="20"/>
        </w:rPr>
        <w:t xml:space="preserve">Breagh </w:t>
      </w:r>
      <w:r w:rsidR="00B511EE" w:rsidRPr="00B511EE">
        <w:rPr>
          <w:sz w:val="20"/>
        </w:rPr>
        <w:t>development is planned</w:t>
      </w:r>
      <w:r w:rsidR="00B511EE">
        <w:rPr>
          <w:sz w:val="20"/>
        </w:rPr>
        <w:t>.</w:t>
      </w:r>
      <w:r w:rsidR="00C62C84">
        <w:rPr>
          <w:sz w:val="20"/>
        </w:rPr>
        <w:t xml:space="preserve"> </w:t>
      </w:r>
      <w:bookmarkStart w:id="0" w:name="_GoBack"/>
      <w:bookmarkEnd w:id="0"/>
    </w:p>
    <w:p w:rsidR="00515A40" w:rsidRDefault="00515A40" w:rsidP="00DA0575">
      <w:pPr>
        <w:jc w:val="both"/>
        <w:rPr>
          <w:sz w:val="20"/>
        </w:rPr>
      </w:pPr>
    </w:p>
    <w:p w:rsidR="005C3346" w:rsidRDefault="005C3346" w:rsidP="00DA0575">
      <w:pPr>
        <w:jc w:val="both"/>
        <w:rPr>
          <w:sz w:val="20"/>
        </w:rPr>
      </w:pPr>
      <w:r>
        <w:rPr>
          <w:sz w:val="20"/>
        </w:rPr>
        <w:t>Operator:</w:t>
      </w:r>
      <w:r>
        <w:rPr>
          <w:sz w:val="20"/>
        </w:rPr>
        <w:tab/>
      </w:r>
      <w:r>
        <w:rPr>
          <w:sz w:val="20"/>
        </w:rPr>
        <w:tab/>
      </w:r>
      <w:r w:rsidR="002F0107">
        <w:rPr>
          <w:sz w:val="20"/>
        </w:rPr>
        <w:t xml:space="preserve">INEOS </w:t>
      </w:r>
      <w:r w:rsidR="00105BF3">
        <w:rPr>
          <w:sz w:val="20"/>
        </w:rPr>
        <w:t>UK SNS Limited</w:t>
      </w:r>
    </w:p>
    <w:p w:rsidR="005C3346" w:rsidRDefault="005C3346" w:rsidP="00DA0575">
      <w:pPr>
        <w:jc w:val="both"/>
        <w:rPr>
          <w:sz w:val="20"/>
        </w:rPr>
      </w:pPr>
      <w:r>
        <w:rPr>
          <w:sz w:val="20"/>
        </w:rPr>
        <w:t>Working Interest:</w:t>
      </w:r>
      <w:r>
        <w:rPr>
          <w:sz w:val="20"/>
        </w:rPr>
        <w:tab/>
        <w:t>70.00%</w:t>
      </w:r>
      <w:r>
        <w:rPr>
          <w:sz w:val="20"/>
        </w:rPr>
        <w:tab/>
      </w:r>
    </w:p>
    <w:p w:rsidR="00C62C84" w:rsidRDefault="00C62C84" w:rsidP="00DA0575">
      <w:pPr>
        <w:pBdr>
          <w:bottom w:val="single" w:sz="12" w:space="1" w:color="4F81BD" w:themeColor="accent1"/>
        </w:pBdr>
        <w:jc w:val="both"/>
        <w:rPr>
          <w:sz w:val="20"/>
        </w:rPr>
      </w:pPr>
    </w:p>
    <w:p w:rsidR="003F2CC1" w:rsidRPr="00567AFC" w:rsidRDefault="003F2CC1" w:rsidP="00DA057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 w:rsidRPr="00567AFC">
        <w:rPr>
          <w:b/>
          <w:sz w:val="20"/>
        </w:rPr>
        <w:t>Entry Specification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</w:p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Gross Calorific Value (Min/max)</w:t>
            </w:r>
          </w:p>
        </w:tc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</w:p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37.5</w:t>
            </w:r>
            <w:r w:rsidR="009235C1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235C1">
              <w:rPr>
                <w:sz w:val="20"/>
              </w:rPr>
              <w:t xml:space="preserve"> </w:t>
            </w:r>
            <w:r w:rsidRPr="003F2CC1">
              <w:rPr>
                <w:sz w:val="20"/>
              </w:rPr>
              <w:t xml:space="preserve">42.3 </w:t>
            </w:r>
            <w:r w:rsidRPr="00FD0BC0">
              <w:rPr>
                <w:sz w:val="18"/>
              </w:rPr>
              <w:t>MJ/m</w:t>
            </w:r>
            <w:r w:rsidRPr="00FD0BC0">
              <w:rPr>
                <w:sz w:val="18"/>
                <w:vertAlign w:val="superscript"/>
              </w:rPr>
              <w:t>3</w:t>
            </w:r>
          </w:p>
        </w:tc>
      </w:tr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Oxygen (</w:t>
            </w:r>
            <w:r w:rsidRPr="003F2CC1">
              <w:rPr>
                <w:sz w:val="20"/>
              </w:rPr>
              <w:t>Max</w:t>
            </w:r>
            <w:r>
              <w:rPr>
                <w:sz w:val="20"/>
              </w:rPr>
              <w:t>)</w:t>
            </w:r>
          </w:p>
        </w:tc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FD0BC0">
              <w:rPr>
                <w:sz w:val="18"/>
              </w:rPr>
              <w:t>ppm</w:t>
            </w:r>
          </w:p>
        </w:tc>
      </w:tr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Carbon Dioxide (Max)</w:t>
            </w:r>
          </w:p>
        </w:tc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 w:rsidRPr="003F2CC1">
              <w:rPr>
                <w:sz w:val="20"/>
              </w:rPr>
              <w:t xml:space="preserve">2.8% </w:t>
            </w:r>
            <w:r w:rsidRPr="00FD0BC0">
              <w:rPr>
                <w:sz w:val="18"/>
              </w:rPr>
              <w:t>mol</w:t>
            </w:r>
          </w:p>
        </w:tc>
      </w:tr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Hydrogen Sulphide (Max)</w:t>
            </w:r>
          </w:p>
        </w:tc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FD0BC0">
              <w:rPr>
                <w:sz w:val="18"/>
              </w:rPr>
              <w:t>ppm</w:t>
            </w:r>
          </w:p>
        </w:tc>
      </w:tr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Total Sulphur (Max)</w:t>
            </w:r>
          </w:p>
        </w:tc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 w:rsidRPr="003F2CC1">
              <w:rPr>
                <w:sz w:val="20"/>
              </w:rPr>
              <w:t xml:space="preserve">14.4 </w:t>
            </w:r>
            <w:r w:rsidRPr="00FD0BC0">
              <w:rPr>
                <w:sz w:val="18"/>
              </w:rPr>
              <w:t>ppm</w:t>
            </w:r>
          </w:p>
        </w:tc>
      </w:tr>
      <w:tr w:rsidR="00537AAC" w:rsidTr="00537AAC">
        <w:tc>
          <w:tcPr>
            <w:tcW w:w="4927" w:type="dxa"/>
          </w:tcPr>
          <w:p w:rsidR="00537AAC" w:rsidRDefault="00537AAC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>Wobbe Index</w:t>
            </w:r>
          </w:p>
        </w:tc>
        <w:tc>
          <w:tcPr>
            <w:tcW w:w="4927" w:type="dxa"/>
          </w:tcPr>
          <w:p w:rsidR="00537AAC" w:rsidRDefault="009235C1" w:rsidP="00567A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47.5 / </w:t>
            </w:r>
            <w:r w:rsidR="00537AAC">
              <w:rPr>
                <w:sz w:val="20"/>
              </w:rPr>
              <w:t xml:space="preserve">51.2 </w:t>
            </w:r>
            <w:r w:rsidR="00537AAC" w:rsidRPr="00FD0BC0">
              <w:rPr>
                <w:sz w:val="18"/>
              </w:rPr>
              <w:t>MJ/m</w:t>
            </w:r>
            <w:r w:rsidR="00537AAC" w:rsidRPr="00FD0BC0">
              <w:rPr>
                <w:sz w:val="18"/>
                <w:vertAlign w:val="superscript"/>
              </w:rPr>
              <w:t>3</w:t>
            </w:r>
          </w:p>
        </w:tc>
      </w:tr>
    </w:tbl>
    <w:p w:rsidR="003F2CC1" w:rsidRDefault="003F2CC1" w:rsidP="00DA0575">
      <w:pPr>
        <w:pBdr>
          <w:bottom w:val="single" w:sz="12" w:space="1" w:color="4F81BD" w:themeColor="accent1"/>
        </w:pBdr>
        <w:jc w:val="both"/>
        <w:rPr>
          <w:sz w:val="20"/>
        </w:rPr>
      </w:pPr>
    </w:p>
    <w:p w:rsidR="00567AFC" w:rsidRPr="00567AFC" w:rsidRDefault="00567AFC" w:rsidP="00DA057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 w:rsidRPr="00567AFC">
        <w:rPr>
          <w:b/>
          <w:sz w:val="20"/>
        </w:rPr>
        <w:t>Exit Specification</w:t>
      </w:r>
    </w:p>
    <w:p w:rsidR="00567AFC" w:rsidRDefault="009235C1" w:rsidP="00567AFC">
      <w:pPr>
        <w:jc w:val="both"/>
        <w:rPr>
          <w:sz w:val="20"/>
        </w:rPr>
      </w:pPr>
      <w:r>
        <w:rPr>
          <w:sz w:val="20"/>
        </w:rPr>
        <w:t xml:space="preserve">Gas redelivered </w:t>
      </w:r>
      <w:r w:rsidRPr="009235C1">
        <w:rPr>
          <w:sz w:val="20"/>
        </w:rPr>
        <w:t>to meet National Grid transmission inlet specification at TGPP, with a discharge pressure of 70barg</w:t>
      </w:r>
    </w:p>
    <w:p w:rsidR="009235C1" w:rsidRDefault="009235C1" w:rsidP="00567AFC">
      <w:pPr>
        <w:jc w:val="both"/>
        <w:rPr>
          <w:sz w:val="20"/>
        </w:rPr>
      </w:pPr>
    </w:p>
    <w:p w:rsidR="00567AFC" w:rsidRDefault="00A84588" w:rsidP="00DA057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>
        <w:rPr>
          <w:b/>
          <w:sz w:val="20"/>
        </w:rPr>
        <w:t>Primary Separation P</w:t>
      </w:r>
      <w:r w:rsidR="00567AFC" w:rsidRPr="00567AFC">
        <w:rPr>
          <w:b/>
          <w:sz w:val="20"/>
        </w:rPr>
        <w:t xml:space="preserve">rocessing </w:t>
      </w:r>
      <w:r>
        <w:rPr>
          <w:b/>
          <w:sz w:val="20"/>
        </w:rPr>
        <w:t>F</w:t>
      </w:r>
      <w:r w:rsidR="00567AFC" w:rsidRPr="00567AFC">
        <w:rPr>
          <w:b/>
          <w:sz w:val="20"/>
        </w:rPr>
        <w:t>acilities</w:t>
      </w:r>
    </w:p>
    <w:p w:rsidR="00567AFC" w:rsidRDefault="00567AFC" w:rsidP="00567AFC">
      <w:pPr>
        <w:jc w:val="both"/>
        <w:rPr>
          <w:sz w:val="20"/>
        </w:rPr>
      </w:pPr>
      <w:r w:rsidRPr="00480E1C">
        <w:rPr>
          <w:sz w:val="20"/>
        </w:rPr>
        <w:t>There are no on-board sep</w:t>
      </w:r>
      <w:r w:rsidR="00E0689D">
        <w:rPr>
          <w:sz w:val="20"/>
        </w:rPr>
        <w:t>aration facilities at Breagh A.</w:t>
      </w:r>
      <w:r w:rsidRPr="00480E1C">
        <w:rPr>
          <w:sz w:val="20"/>
        </w:rPr>
        <w:t xml:space="preserve"> Separation is provided at the TGPP terminal.  Compression may be provided at the terminal </w:t>
      </w:r>
      <w:r w:rsidR="0005157C" w:rsidRPr="00480E1C">
        <w:rPr>
          <w:sz w:val="20"/>
        </w:rPr>
        <w:t xml:space="preserve">or offshore </w:t>
      </w:r>
      <w:r w:rsidRPr="00480E1C">
        <w:rPr>
          <w:sz w:val="20"/>
        </w:rPr>
        <w:t xml:space="preserve">in the future. Liquid handling at TGPP is provided by a slug catcher with a 5,000 </w:t>
      </w:r>
      <w:r w:rsidR="008A6B3D" w:rsidRPr="00480E1C">
        <w:rPr>
          <w:sz w:val="20"/>
        </w:rPr>
        <w:t>bbls</w:t>
      </w:r>
      <w:r w:rsidR="00D36475">
        <w:rPr>
          <w:sz w:val="20"/>
        </w:rPr>
        <w:t xml:space="preserve"> capacity. C</w:t>
      </w:r>
      <w:r w:rsidR="000C52AD" w:rsidRPr="00480E1C">
        <w:rPr>
          <w:sz w:val="20"/>
        </w:rPr>
        <w:t>ondensate</w:t>
      </w:r>
      <w:r w:rsidR="0011726F" w:rsidRPr="00480E1C">
        <w:rPr>
          <w:sz w:val="20"/>
        </w:rPr>
        <w:t xml:space="preserve"> and MEG </w:t>
      </w:r>
      <w:r w:rsidR="000C52AD" w:rsidRPr="00480E1C">
        <w:rPr>
          <w:sz w:val="20"/>
        </w:rPr>
        <w:t>separat</w:t>
      </w:r>
      <w:r w:rsidR="0011726F" w:rsidRPr="00480E1C">
        <w:rPr>
          <w:sz w:val="20"/>
        </w:rPr>
        <w:t>ion</w:t>
      </w:r>
      <w:r w:rsidR="006073C9" w:rsidRPr="00480E1C">
        <w:rPr>
          <w:sz w:val="20"/>
        </w:rPr>
        <w:t>/</w:t>
      </w:r>
      <w:r w:rsidRPr="00480E1C">
        <w:rPr>
          <w:sz w:val="20"/>
        </w:rPr>
        <w:t>dedicated MEG regeneration</w:t>
      </w:r>
      <w:r w:rsidR="000C52AD" w:rsidRPr="00480E1C">
        <w:rPr>
          <w:sz w:val="20"/>
        </w:rPr>
        <w:t xml:space="preserve"> </w:t>
      </w:r>
      <w:r w:rsidR="00D36475">
        <w:rPr>
          <w:sz w:val="20"/>
        </w:rPr>
        <w:t>facilities are provided</w:t>
      </w:r>
      <w:r w:rsidR="0011726F" w:rsidRPr="00480E1C">
        <w:rPr>
          <w:sz w:val="20"/>
        </w:rPr>
        <w:t>,</w:t>
      </w:r>
      <w:r w:rsidRPr="00480E1C">
        <w:rPr>
          <w:sz w:val="20"/>
        </w:rPr>
        <w:t xml:space="preserve"> </w:t>
      </w:r>
      <w:r w:rsidR="00B23A2E" w:rsidRPr="00480E1C">
        <w:rPr>
          <w:sz w:val="20"/>
        </w:rPr>
        <w:t>prior to</w:t>
      </w:r>
      <w:r w:rsidR="0011726F" w:rsidRPr="00480E1C">
        <w:rPr>
          <w:sz w:val="20"/>
        </w:rPr>
        <w:t xml:space="preserve"> gas</w:t>
      </w:r>
      <w:r w:rsidR="00B23A2E" w:rsidRPr="00480E1C">
        <w:rPr>
          <w:sz w:val="20"/>
        </w:rPr>
        <w:t xml:space="preserve"> export to NG</w:t>
      </w:r>
      <w:r w:rsidR="0005157C" w:rsidRPr="00480E1C">
        <w:rPr>
          <w:sz w:val="20"/>
        </w:rPr>
        <w:t>T</w:t>
      </w:r>
      <w:r w:rsidR="0011726F" w:rsidRPr="00480E1C">
        <w:rPr>
          <w:sz w:val="20"/>
        </w:rPr>
        <w:t>.</w:t>
      </w:r>
      <w:r w:rsidRPr="00480E1C">
        <w:rPr>
          <w:sz w:val="20"/>
        </w:rPr>
        <w:t xml:space="preserve">   </w:t>
      </w:r>
    </w:p>
    <w:p w:rsidR="00C84745" w:rsidRDefault="00C84745" w:rsidP="00567AFC">
      <w:pPr>
        <w:jc w:val="both"/>
        <w:rPr>
          <w:sz w:val="20"/>
        </w:rPr>
      </w:pPr>
    </w:p>
    <w:p w:rsidR="00C84745" w:rsidRDefault="00C84745" w:rsidP="00C8474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>
        <w:rPr>
          <w:b/>
          <w:sz w:val="20"/>
        </w:rPr>
        <w:t>Gas Treatment</w:t>
      </w:r>
      <w:r w:rsidRPr="00567AFC">
        <w:rPr>
          <w:b/>
          <w:sz w:val="20"/>
        </w:rPr>
        <w:t xml:space="preserve"> </w:t>
      </w:r>
      <w:r>
        <w:rPr>
          <w:b/>
          <w:sz w:val="20"/>
        </w:rPr>
        <w:t>F</w:t>
      </w:r>
      <w:r w:rsidRPr="00567AFC">
        <w:rPr>
          <w:b/>
          <w:sz w:val="20"/>
        </w:rPr>
        <w:t>acilities</w:t>
      </w:r>
    </w:p>
    <w:p w:rsidR="00C84745" w:rsidRDefault="00462D5E" w:rsidP="007D71B6">
      <w:pPr>
        <w:autoSpaceDE w:val="0"/>
        <w:autoSpaceDN w:val="0"/>
        <w:adjustRightInd w:val="0"/>
        <w:spacing w:line="240" w:lineRule="auto"/>
        <w:rPr>
          <w:sz w:val="20"/>
        </w:rPr>
      </w:pPr>
      <w:r w:rsidRPr="00462D5E">
        <w:rPr>
          <w:sz w:val="20"/>
        </w:rPr>
        <w:t xml:space="preserve">Gas treatment facilities at TGPP </w:t>
      </w:r>
      <w:r w:rsidR="007D71B6">
        <w:rPr>
          <w:sz w:val="20"/>
        </w:rPr>
        <w:t xml:space="preserve">enable </w:t>
      </w:r>
      <w:r w:rsidRPr="00462D5E">
        <w:rPr>
          <w:sz w:val="20"/>
        </w:rPr>
        <w:t xml:space="preserve">gas conditioning to </w:t>
      </w:r>
      <w:r>
        <w:rPr>
          <w:sz w:val="20"/>
        </w:rPr>
        <w:t>NTS</w:t>
      </w:r>
      <w:r w:rsidRPr="00462D5E">
        <w:rPr>
          <w:sz w:val="20"/>
        </w:rPr>
        <w:t xml:space="preserve"> export specificatio</w:t>
      </w:r>
      <w:r w:rsidR="007D71B6">
        <w:rPr>
          <w:sz w:val="20"/>
        </w:rPr>
        <w:t>n. This is achieved using ‎the following; gas-gas interchange, propane refrigeration, and Joule-</w:t>
      </w:r>
      <w:r w:rsidRPr="00462D5E">
        <w:rPr>
          <w:sz w:val="20"/>
        </w:rPr>
        <w:t>Thomson expansion cooling</w:t>
      </w:r>
      <w:r w:rsidR="007D71B6">
        <w:rPr>
          <w:sz w:val="20"/>
        </w:rPr>
        <w:t xml:space="preserve">. </w:t>
      </w:r>
      <w:r w:rsidRPr="00462D5E">
        <w:rPr>
          <w:sz w:val="20"/>
        </w:rPr>
        <w:t xml:space="preserve"> </w:t>
      </w:r>
      <w:r w:rsidR="007D71B6">
        <w:rPr>
          <w:sz w:val="20"/>
        </w:rPr>
        <w:t xml:space="preserve">These are used in combination to reduce the temperature of the gas </w:t>
      </w:r>
      <w:r w:rsidR="007D71B6" w:rsidRPr="007D71B6">
        <w:rPr>
          <w:sz w:val="20"/>
        </w:rPr>
        <w:t xml:space="preserve">sufficiently </w:t>
      </w:r>
      <w:r w:rsidR="007D71B6">
        <w:rPr>
          <w:sz w:val="20"/>
        </w:rPr>
        <w:t>f</w:t>
      </w:r>
      <w:r w:rsidR="007D71B6" w:rsidRPr="007D71B6">
        <w:rPr>
          <w:sz w:val="20"/>
        </w:rPr>
        <w:t>or</w:t>
      </w:r>
      <w:r w:rsidR="007D71B6">
        <w:rPr>
          <w:sz w:val="20"/>
        </w:rPr>
        <w:t xml:space="preserve"> </w:t>
      </w:r>
      <w:r w:rsidR="007D71B6" w:rsidRPr="007D71B6">
        <w:rPr>
          <w:sz w:val="20"/>
        </w:rPr>
        <w:t xml:space="preserve">the heavier hydrocarbons and water to coalesce and be separated </w:t>
      </w:r>
      <w:r w:rsidR="007D71B6">
        <w:rPr>
          <w:sz w:val="20"/>
        </w:rPr>
        <w:t xml:space="preserve">out </w:t>
      </w:r>
      <w:r w:rsidR="007D71B6" w:rsidRPr="007D71B6">
        <w:rPr>
          <w:sz w:val="20"/>
        </w:rPr>
        <w:t>in the Dew Point</w:t>
      </w:r>
      <w:r w:rsidR="007D71B6">
        <w:rPr>
          <w:sz w:val="20"/>
        </w:rPr>
        <w:t xml:space="preserve"> </w:t>
      </w:r>
      <w:r w:rsidR="007D71B6" w:rsidRPr="007D71B6">
        <w:rPr>
          <w:sz w:val="20"/>
        </w:rPr>
        <w:t>Separator</w:t>
      </w:r>
      <w:r>
        <w:rPr>
          <w:sz w:val="20"/>
        </w:rPr>
        <w:t xml:space="preserve">. </w:t>
      </w:r>
    </w:p>
    <w:p w:rsidR="00567AFC" w:rsidRDefault="00567AFC" w:rsidP="00567AFC">
      <w:pPr>
        <w:jc w:val="both"/>
        <w:rPr>
          <w:sz w:val="20"/>
        </w:rPr>
      </w:pPr>
    </w:p>
    <w:p w:rsidR="00567AFC" w:rsidRDefault="00567AFC" w:rsidP="00DA057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 w:rsidRPr="00567AFC">
        <w:rPr>
          <w:b/>
          <w:sz w:val="20"/>
        </w:rPr>
        <w:t>Capacity Information</w:t>
      </w:r>
    </w:p>
    <w:p w:rsidR="00F30FD2" w:rsidRDefault="00F30FD2" w:rsidP="00F30FD2">
      <w:pPr>
        <w:rPr>
          <w:sz w:val="16"/>
        </w:rPr>
      </w:pP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16EDC" wp14:editId="74069DB9">
                <wp:simplePos x="0" y="0"/>
                <wp:positionH relativeFrom="column">
                  <wp:posOffset>2064457</wp:posOffset>
                </wp:positionH>
                <wp:positionV relativeFrom="paragraph">
                  <wp:posOffset>46091</wp:posOffset>
                </wp:positionV>
                <wp:extent cx="163830" cy="146050"/>
                <wp:effectExtent l="0" t="0" r="2667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710B" id="Rectangle 22" o:spid="_x0000_s1026" style="position:absolute;margin-left:162.55pt;margin-top:3.65pt;width:12.9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" fillcolor="#92d050" strokecolor="window" strokeweight="2pt"/>
            </w:pict>
          </mc:Fallback>
        </mc:AlternateContent>
      </w: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DBE10" wp14:editId="21D14F65">
                <wp:simplePos x="0" y="0"/>
                <wp:positionH relativeFrom="column">
                  <wp:posOffset>2609215</wp:posOffset>
                </wp:positionH>
                <wp:positionV relativeFrom="paragraph">
                  <wp:posOffset>38100</wp:posOffset>
                </wp:positionV>
                <wp:extent cx="163195" cy="146050"/>
                <wp:effectExtent l="0" t="0" r="2730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6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BD5A" id="Rectangle 24" o:spid="_x0000_s1026" style="position:absolute;margin-left:205.45pt;margin-top:3pt;width:12.8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" fillcolor="#ffc000" strokecolor="window" strokeweight="2pt"/>
            </w:pict>
          </mc:Fallback>
        </mc:AlternateContent>
      </w:r>
      <w:r w:rsidRPr="008B7F9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F9886" wp14:editId="1DEB4DC9">
                <wp:simplePos x="0" y="0"/>
                <wp:positionH relativeFrom="column">
                  <wp:posOffset>3427095</wp:posOffset>
                </wp:positionH>
                <wp:positionV relativeFrom="paragraph">
                  <wp:posOffset>38100</wp:posOffset>
                </wp:positionV>
                <wp:extent cx="163195" cy="146050"/>
                <wp:effectExtent l="0" t="0" r="2730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6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4E19" id="Rectangle 25" o:spid="_x0000_s1026" style="position:absolute;margin-left:269.85pt;margin-top:3pt;width:12.8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" fillcolor="#c0504d [3205]" strokecolor="window" strokeweight="2pt"/>
            </w:pict>
          </mc:Fallback>
        </mc:AlternateContent>
      </w:r>
      <w:r>
        <w:rPr>
          <w:sz w:val="20"/>
        </w:rPr>
        <w:t xml:space="preserve">Available capacities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6C32">
        <w:rPr>
          <w:sz w:val="16"/>
        </w:rPr>
        <w:t>&gt;25%</w:t>
      </w:r>
      <w:r>
        <w:rPr>
          <w:sz w:val="16"/>
        </w:rPr>
        <w:tab/>
        <w:t xml:space="preserve">  5% to 25%</w:t>
      </w:r>
      <w:r>
        <w:rPr>
          <w:sz w:val="16"/>
        </w:rPr>
        <w:tab/>
        <w:t>&lt;5%</w:t>
      </w:r>
    </w:p>
    <w:p w:rsidR="00DA0575" w:rsidRPr="00567AFC" w:rsidRDefault="00DA0575" w:rsidP="00567AFC">
      <w:pPr>
        <w:jc w:val="both"/>
        <w:rPr>
          <w:b/>
          <w:sz w:val="20"/>
        </w:rPr>
      </w:pP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003"/>
        <w:gridCol w:w="1004"/>
        <w:gridCol w:w="1003"/>
        <w:gridCol w:w="1003"/>
        <w:gridCol w:w="1003"/>
        <w:gridCol w:w="2150"/>
      </w:tblGrid>
      <w:tr w:rsidR="00943349" w:rsidTr="008A6B3D">
        <w:trPr>
          <w:trHeight w:val="206"/>
        </w:trPr>
        <w:tc>
          <w:tcPr>
            <w:tcW w:w="2546" w:type="dxa"/>
          </w:tcPr>
          <w:p w:rsidR="00567AFC" w:rsidRPr="00DA0575" w:rsidRDefault="00567AFC" w:rsidP="00567AFC">
            <w:pPr>
              <w:jc w:val="both"/>
              <w:rPr>
                <w:b/>
                <w:sz w:val="18"/>
                <w:szCs w:val="18"/>
              </w:rPr>
            </w:pPr>
            <w:r w:rsidRPr="00DA0575">
              <w:rPr>
                <w:b/>
                <w:sz w:val="18"/>
                <w:szCs w:val="18"/>
              </w:rPr>
              <w:t>Breagh</w:t>
            </w:r>
            <w:r w:rsidR="00943349" w:rsidRPr="00DA0575">
              <w:rPr>
                <w:b/>
                <w:sz w:val="18"/>
                <w:szCs w:val="18"/>
              </w:rPr>
              <w:t xml:space="preserve"> </w:t>
            </w:r>
            <w:r w:rsidRPr="00DA0575">
              <w:rPr>
                <w:b/>
                <w:sz w:val="18"/>
                <w:szCs w:val="18"/>
              </w:rPr>
              <w:t>A Platform Facility</w:t>
            </w:r>
          </w:p>
        </w:tc>
        <w:tc>
          <w:tcPr>
            <w:tcW w:w="1003" w:type="dxa"/>
          </w:tcPr>
          <w:p w:rsidR="00567AFC" w:rsidRPr="00CD6613" w:rsidRDefault="00567AFC" w:rsidP="00F42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5B48">
              <w:rPr>
                <w:sz w:val="18"/>
                <w:szCs w:val="18"/>
              </w:rPr>
              <w:t>201</w:t>
            </w:r>
            <w:r w:rsidR="00F428FD">
              <w:rPr>
                <w:sz w:val="18"/>
                <w:szCs w:val="18"/>
              </w:rPr>
              <w:t>9</w:t>
            </w:r>
          </w:p>
        </w:tc>
        <w:tc>
          <w:tcPr>
            <w:tcW w:w="1004" w:type="dxa"/>
          </w:tcPr>
          <w:p w:rsidR="00567AFC" w:rsidRPr="00CD6613" w:rsidRDefault="00567AFC" w:rsidP="00F42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428FD">
              <w:rPr>
                <w:sz w:val="18"/>
                <w:szCs w:val="18"/>
              </w:rPr>
              <w:t>2020</w:t>
            </w:r>
          </w:p>
        </w:tc>
        <w:tc>
          <w:tcPr>
            <w:tcW w:w="1003" w:type="dxa"/>
          </w:tcPr>
          <w:p w:rsidR="00567AFC" w:rsidRPr="00CD6613" w:rsidRDefault="00943349" w:rsidP="00F42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5B48">
              <w:rPr>
                <w:sz w:val="18"/>
                <w:szCs w:val="18"/>
              </w:rPr>
              <w:t>20</w:t>
            </w:r>
            <w:r w:rsidR="002F0107">
              <w:rPr>
                <w:sz w:val="18"/>
                <w:szCs w:val="18"/>
              </w:rPr>
              <w:t>2</w:t>
            </w:r>
            <w:r w:rsidR="00F428FD">
              <w:rPr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:rsidR="00567AFC" w:rsidRPr="00CD6613" w:rsidRDefault="00567AFC" w:rsidP="00F42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A5B48">
              <w:rPr>
                <w:sz w:val="18"/>
                <w:szCs w:val="18"/>
              </w:rPr>
              <w:t>20</w:t>
            </w:r>
            <w:r w:rsidR="002F0107">
              <w:rPr>
                <w:sz w:val="18"/>
                <w:szCs w:val="18"/>
              </w:rPr>
              <w:t>2</w:t>
            </w:r>
            <w:r w:rsidR="00F428FD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67AFC" w:rsidRPr="00CD6613" w:rsidRDefault="00567AFC" w:rsidP="00F428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37249">
              <w:rPr>
                <w:sz w:val="18"/>
                <w:szCs w:val="18"/>
              </w:rPr>
              <w:t>2</w:t>
            </w:r>
            <w:r w:rsidR="005A5B48">
              <w:rPr>
                <w:sz w:val="18"/>
                <w:szCs w:val="18"/>
              </w:rPr>
              <w:t>0</w:t>
            </w:r>
            <w:r w:rsidR="00712134">
              <w:rPr>
                <w:sz w:val="18"/>
                <w:szCs w:val="18"/>
              </w:rPr>
              <w:t>2</w:t>
            </w:r>
            <w:r w:rsidR="00F428FD">
              <w:rPr>
                <w:sz w:val="18"/>
                <w:szCs w:val="18"/>
              </w:rPr>
              <w:t>3</w:t>
            </w:r>
          </w:p>
        </w:tc>
        <w:tc>
          <w:tcPr>
            <w:tcW w:w="2150" w:type="dxa"/>
          </w:tcPr>
          <w:p w:rsidR="00567AFC" w:rsidRPr="00CD6613" w:rsidRDefault="00567AFC" w:rsidP="00567AFC">
            <w:pPr>
              <w:jc w:val="both"/>
              <w:rPr>
                <w:sz w:val="18"/>
                <w:szCs w:val="18"/>
              </w:rPr>
            </w:pPr>
            <w:r w:rsidRPr="00CD6613">
              <w:rPr>
                <w:sz w:val="18"/>
                <w:szCs w:val="18"/>
              </w:rPr>
              <w:t>Comment</w:t>
            </w:r>
            <w:r w:rsidR="00921FE8">
              <w:rPr>
                <w:sz w:val="18"/>
                <w:szCs w:val="18"/>
              </w:rPr>
              <w:t>s</w:t>
            </w:r>
          </w:p>
        </w:tc>
      </w:tr>
      <w:tr w:rsidR="00943349" w:rsidTr="008A6B3D">
        <w:trPr>
          <w:trHeight w:val="911"/>
        </w:trPr>
        <w:tc>
          <w:tcPr>
            <w:tcW w:w="2546" w:type="dxa"/>
          </w:tcPr>
          <w:p w:rsidR="00567AFC" w:rsidRDefault="00567AFC" w:rsidP="00567AFC">
            <w:pPr>
              <w:jc w:val="both"/>
              <w:rPr>
                <w:sz w:val="18"/>
                <w:szCs w:val="18"/>
              </w:rPr>
            </w:pPr>
            <w:r w:rsidRPr="00CD6613">
              <w:rPr>
                <w:sz w:val="18"/>
                <w:szCs w:val="18"/>
              </w:rPr>
              <w:t>Export system capacity</w:t>
            </w:r>
          </w:p>
          <w:p w:rsidR="00567AFC" w:rsidRPr="00480E1C" w:rsidRDefault="00697BC2" w:rsidP="00567AFC">
            <w:pPr>
              <w:jc w:val="both"/>
              <w:rPr>
                <w:sz w:val="18"/>
                <w:szCs w:val="18"/>
              </w:rPr>
            </w:pPr>
            <w:r w:rsidRPr="00480E1C">
              <w:rPr>
                <w:sz w:val="18"/>
                <w:szCs w:val="18"/>
              </w:rPr>
              <w:t>2</w:t>
            </w:r>
            <w:r w:rsidR="0005157C" w:rsidRPr="00480E1C">
              <w:rPr>
                <w:sz w:val="18"/>
                <w:szCs w:val="18"/>
              </w:rPr>
              <w:t>2</w:t>
            </w:r>
            <w:r w:rsidRPr="00480E1C">
              <w:rPr>
                <w:sz w:val="18"/>
                <w:szCs w:val="18"/>
              </w:rPr>
              <w:t>5</w:t>
            </w:r>
            <w:r w:rsidR="00567AFC" w:rsidRPr="00480E1C">
              <w:rPr>
                <w:sz w:val="18"/>
                <w:szCs w:val="18"/>
              </w:rPr>
              <w:t>MMscf/d</w:t>
            </w:r>
            <w:r w:rsidR="007B252E" w:rsidRPr="00480E1C">
              <w:rPr>
                <w:rStyle w:val="FootnoteReference"/>
                <w:sz w:val="18"/>
                <w:szCs w:val="18"/>
              </w:rPr>
              <w:t>*</w:t>
            </w:r>
          </w:p>
          <w:p w:rsidR="007B252E" w:rsidRPr="00CD6613" w:rsidRDefault="007B252E" w:rsidP="00567AFC">
            <w:pPr>
              <w:jc w:val="both"/>
              <w:rPr>
                <w:sz w:val="18"/>
                <w:szCs w:val="18"/>
              </w:rPr>
            </w:pPr>
            <w:r w:rsidRPr="00480E1C">
              <w:rPr>
                <w:sz w:val="18"/>
                <w:szCs w:val="18"/>
              </w:rPr>
              <w:t>*</w:t>
            </w:r>
            <w:r w:rsidRPr="00480E1C">
              <w:rPr>
                <w:sz w:val="18"/>
                <w:szCs w:val="18"/>
                <w:vertAlign w:val="subscript"/>
              </w:rPr>
              <w:t xml:space="preserve">The system is designed </w:t>
            </w:r>
            <w:r w:rsidRPr="007B252E">
              <w:rPr>
                <w:sz w:val="18"/>
                <w:szCs w:val="18"/>
                <w:vertAlign w:val="subscript"/>
              </w:rPr>
              <w:t>for 400M</w:t>
            </w:r>
            <w:r>
              <w:rPr>
                <w:sz w:val="18"/>
                <w:szCs w:val="18"/>
                <w:vertAlign w:val="subscript"/>
              </w:rPr>
              <w:t>Mscf/d to cater for future 3rd p</w:t>
            </w:r>
            <w:r w:rsidRPr="007B252E">
              <w:rPr>
                <w:sz w:val="18"/>
                <w:szCs w:val="18"/>
                <w:vertAlign w:val="subscript"/>
              </w:rPr>
              <w:t>arty tie-ins</w:t>
            </w:r>
          </w:p>
        </w:tc>
        <w:tc>
          <w:tcPr>
            <w:tcW w:w="1003" w:type="dxa"/>
          </w:tcPr>
          <w:p w:rsidR="00567AFC" w:rsidRPr="00CD6613" w:rsidRDefault="00F30FD2" w:rsidP="00567AFC">
            <w:pPr>
              <w:jc w:val="both"/>
              <w:rPr>
                <w:sz w:val="18"/>
                <w:szCs w:val="18"/>
              </w:rPr>
            </w:pPr>
            <w:r w:rsidRPr="001F6AC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2AA3E6" wp14:editId="5ADE61E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113030</wp:posOffset>
                      </wp:positionV>
                      <wp:extent cx="318770" cy="254635"/>
                      <wp:effectExtent l="0" t="0" r="24130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B178" id="Rectangle 20" o:spid="_x0000_s1026" style="position:absolute;margin-left:10.55pt;margin-top:8.9pt;width:25.1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" fillcolor="#92d050" strokecolor="window" strokeweight="2pt"/>
                  </w:pict>
                </mc:Fallback>
              </mc:AlternateContent>
            </w:r>
          </w:p>
        </w:tc>
        <w:tc>
          <w:tcPr>
            <w:tcW w:w="1004" w:type="dxa"/>
          </w:tcPr>
          <w:p w:rsidR="00567AFC" w:rsidRPr="00CD6613" w:rsidRDefault="00567AFC" w:rsidP="00567AFC">
            <w:pPr>
              <w:jc w:val="both"/>
              <w:rPr>
                <w:sz w:val="18"/>
                <w:szCs w:val="18"/>
              </w:rPr>
            </w:pPr>
            <w:r w:rsidRPr="009E6BDB">
              <w:rPr>
                <w:noProof/>
                <w:color w:val="FFFFF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DDED7" wp14:editId="4C3A996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109220</wp:posOffset>
                      </wp:positionV>
                      <wp:extent cx="318770" cy="254635"/>
                      <wp:effectExtent l="0" t="0" r="24130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8DA85" id="Rectangle 23" o:spid="_x0000_s1026" style="position:absolute;margin-left:12.65pt;margin-top:8.6pt;width:25.1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" fillcolor="#92d050" strokecolor="window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567AFC" w:rsidRPr="00CD6613" w:rsidRDefault="00567AFC" w:rsidP="00567AFC">
            <w:pPr>
              <w:jc w:val="both"/>
              <w:rPr>
                <w:sz w:val="18"/>
                <w:szCs w:val="18"/>
              </w:rPr>
            </w:pPr>
            <w:r w:rsidRPr="009E6BDB">
              <w:rPr>
                <w:noProof/>
                <w:color w:val="FFFFF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AC559" wp14:editId="4111E07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111125</wp:posOffset>
                      </wp:positionV>
                      <wp:extent cx="318770" cy="254635"/>
                      <wp:effectExtent l="0" t="0" r="2413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BB838" id="Rectangle 2" o:spid="_x0000_s1026" style="position:absolute;margin-left:13.7pt;margin-top:8.75pt;width:25.1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" fillcolor="#92d050" strokecolor="window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567AFC" w:rsidRPr="00CD6613" w:rsidRDefault="00567AFC" w:rsidP="00567AFC">
            <w:pPr>
              <w:jc w:val="both"/>
              <w:rPr>
                <w:sz w:val="18"/>
                <w:szCs w:val="18"/>
              </w:rPr>
            </w:pPr>
            <w:r w:rsidRPr="009E6BDB">
              <w:rPr>
                <w:noProof/>
                <w:color w:val="FFFFF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E10AC" wp14:editId="13327A9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109855</wp:posOffset>
                      </wp:positionV>
                      <wp:extent cx="318770" cy="254635"/>
                      <wp:effectExtent l="0" t="0" r="2413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373EE" id="Rectangle 3" o:spid="_x0000_s1026" style="position:absolute;margin-left:14.65pt;margin-top:8.65pt;width:25.1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" fillcolor="#92d050" strokecolor="window" strokeweight="2pt"/>
                  </w:pict>
                </mc:Fallback>
              </mc:AlternateContent>
            </w:r>
          </w:p>
        </w:tc>
        <w:tc>
          <w:tcPr>
            <w:tcW w:w="1003" w:type="dxa"/>
          </w:tcPr>
          <w:p w:rsidR="00567AFC" w:rsidRPr="00CD6613" w:rsidRDefault="00567AFC" w:rsidP="00567AFC">
            <w:pPr>
              <w:jc w:val="both"/>
              <w:rPr>
                <w:sz w:val="18"/>
                <w:szCs w:val="18"/>
              </w:rPr>
            </w:pPr>
            <w:r w:rsidRPr="009E6BDB">
              <w:rPr>
                <w:noProof/>
                <w:color w:val="FFFFF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5C01C" wp14:editId="15F7B01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107950</wp:posOffset>
                      </wp:positionV>
                      <wp:extent cx="318770" cy="254635"/>
                      <wp:effectExtent l="0" t="0" r="2413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0E504" id="Rectangle 4" o:spid="_x0000_s1026" style="position:absolute;margin-left:11.8pt;margin-top:8.5pt;width:25.1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" fillcolor="#92d050" strokecolor="window" strokeweight="2pt"/>
                  </w:pict>
                </mc:Fallback>
              </mc:AlternateContent>
            </w:r>
          </w:p>
        </w:tc>
        <w:tc>
          <w:tcPr>
            <w:tcW w:w="2150" w:type="dxa"/>
          </w:tcPr>
          <w:p w:rsidR="006148E2" w:rsidRDefault="006148E2" w:rsidP="00567AFC">
            <w:pPr>
              <w:jc w:val="both"/>
              <w:rPr>
                <w:sz w:val="18"/>
                <w:szCs w:val="18"/>
              </w:rPr>
            </w:pPr>
          </w:p>
          <w:p w:rsidR="00567AFC" w:rsidRPr="00CD6613" w:rsidRDefault="00DA0575" w:rsidP="00567A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Basis </w:t>
            </w:r>
            <w:r w:rsidR="00567AFC" w:rsidRPr="00CD6613">
              <w:rPr>
                <w:sz w:val="18"/>
                <w:szCs w:val="18"/>
              </w:rPr>
              <w:t xml:space="preserve">of Design profiles. </w:t>
            </w:r>
          </w:p>
        </w:tc>
      </w:tr>
    </w:tbl>
    <w:p w:rsidR="00567AFC" w:rsidRPr="00E37249" w:rsidRDefault="00567AFC" w:rsidP="00567AFC">
      <w:pPr>
        <w:jc w:val="both"/>
        <w:rPr>
          <w:b/>
          <w:sz w:val="20"/>
        </w:rPr>
      </w:pPr>
    </w:p>
    <w:p w:rsidR="001B63BD" w:rsidRPr="00E37249" w:rsidRDefault="001B63BD" w:rsidP="00DA0575">
      <w:pPr>
        <w:pBdr>
          <w:bottom w:val="single" w:sz="12" w:space="1" w:color="4F81BD" w:themeColor="accent1"/>
        </w:pBdr>
        <w:jc w:val="both"/>
        <w:rPr>
          <w:b/>
          <w:sz w:val="20"/>
        </w:rPr>
      </w:pPr>
      <w:r w:rsidRPr="00E37249">
        <w:rPr>
          <w:b/>
          <w:sz w:val="20"/>
        </w:rPr>
        <w:t>Contact Information</w:t>
      </w:r>
    </w:p>
    <w:p w:rsidR="0024531D" w:rsidRDefault="0024531D" w:rsidP="0024531D">
      <w:pPr>
        <w:rPr>
          <w:sz w:val="20"/>
        </w:rPr>
      </w:pPr>
      <w:r>
        <w:rPr>
          <w:sz w:val="20"/>
        </w:rPr>
        <w:t>For further information please contact:</w:t>
      </w:r>
    </w:p>
    <w:p w:rsidR="0024531D" w:rsidRDefault="0024531D" w:rsidP="0024531D">
      <w:pPr>
        <w:rPr>
          <w:sz w:val="20"/>
        </w:rPr>
      </w:pPr>
    </w:p>
    <w:p w:rsidR="002E16FA" w:rsidRPr="002E16FA" w:rsidRDefault="00712134" w:rsidP="0024531D">
      <w:pPr>
        <w:rPr>
          <w:b/>
          <w:sz w:val="20"/>
        </w:rPr>
      </w:pPr>
      <w:r>
        <w:rPr>
          <w:b/>
          <w:sz w:val="20"/>
        </w:rPr>
        <w:t>Rob Johnson</w:t>
      </w:r>
    </w:p>
    <w:p w:rsidR="0024531D" w:rsidRPr="002E16FA" w:rsidRDefault="0024531D" w:rsidP="0024531D">
      <w:pPr>
        <w:rPr>
          <w:b/>
          <w:sz w:val="20"/>
        </w:rPr>
      </w:pPr>
      <w:r w:rsidRPr="002E16FA">
        <w:rPr>
          <w:b/>
          <w:sz w:val="20"/>
        </w:rPr>
        <w:t>Commercial Manager</w:t>
      </w:r>
    </w:p>
    <w:p w:rsidR="00E0689D" w:rsidRPr="002F0107" w:rsidRDefault="00E0689D" w:rsidP="00E0689D">
      <w:pPr>
        <w:jc w:val="both"/>
        <w:rPr>
          <w:sz w:val="20"/>
        </w:rPr>
      </w:pPr>
      <w:r w:rsidRPr="002F0107">
        <w:rPr>
          <w:sz w:val="20"/>
        </w:rPr>
        <w:t xml:space="preserve">Tel: </w:t>
      </w:r>
      <w:r w:rsidRPr="002F0107">
        <w:rPr>
          <w:sz w:val="20"/>
        </w:rPr>
        <w:tab/>
        <w:t xml:space="preserve">+44 20 </w:t>
      </w:r>
      <w:r w:rsidR="00F428FD">
        <w:rPr>
          <w:sz w:val="20"/>
        </w:rPr>
        <w:t>3935 5255</w:t>
      </w:r>
    </w:p>
    <w:p w:rsidR="0024531D" w:rsidRPr="002F0107" w:rsidRDefault="00E0689D" w:rsidP="00E0689D">
      <w:pPr>
        <w:jc w:val="both"/>
        <w:rPr>
          <w:sz w:val="20"/>
        </w:rPr>
      </w:pPr>
      <w:r w:rsidRPr="002F0107">
        <w:rPr>
          <w:sz w:val="20"/>
        </w:rPr>
        <w:t>Email:</w:t>
      </w:r>
      <w:r w:rsidRPr="002F0107">
        <w:rPr>
          <w:sz w:val="20"/>
        </w:rPr>
        <w:tab/>
      </w:r>
      <w:r w:rsidR="00712134" w:rsidRPr="002F0107">
        <w:rPr>
          <w:sz w:val="20"/>
        </w:rPr>
        <w:t>rob</w:t>
      </w:r>
      <w:r w:rsidRPr="002F0107">
        <w:rPr>
          <w:sz w:val="20"/>
        </w:rPr>
        <w:t>.</w:t>
      </w:r>
      <w:r w:rsidR="00712134" w:rsidRPr="002F0107">
        <w:rPr>
          <w:sz w:val="20"/>
        </w:rPr>
        <w:t>johnson</w:t>
      </w:r>
      <w:r w:rsidRPr="002F0107">
        <w:rPr>
          <w:sz w:val="20"/>
        </w:rPr>
        <w:t>@</w:t>
      </w:r>
      <w:r w:rsidR="002F0107">
        <w:rPr>
          <w:sz w:val="20"/>
        </w:rPr>
        <w:t>ineos</w:t>
      </w:r>
      <w:r w:rsidRPr="002F0107">
        <w:rPr>
          <w:sz w:val="20"/>
        </w:rPr>
        <w:t>.com</w:t>
      </w:r>
    </w:p>
    <w:p w:rsidR="00C62C84" w:rsidRDefault="00C62C84" w:rsidP="0024531D">
      <w:pPr>
        <w:jc w:val="both"/>
        <w:rPr>
          <w:b/>
          <w:sz w:val="20"/>
        </w:rPr>
      </w:pPr>
    </w:p>
    <w:p w:rsidR="00C62C84" w:rsidRDefault="00C62C84" w:rsidP="0024531D">
      <w:pPr>
        <w:jc w:val="both"/>
        <w:rPr>
          <w:b/>
          <w:sz w:val="20"/>
        </w:rPr>
      </w:pPr>
    </w:p>
    <w:p w:rsidR="00150844" w:rsidRPr="00480E1C" w:rsidRDefault="0024531D" w:rsidP="0024531D">
      <w:pPr>
        <w:jc w:val="both"/>
        <w:rPr>
          <w:b/>
          <w:sz w:val="20"/>
        </w:rPr>
      </w:pPr>
      <w:r w:rsidRPr="00480E1C">
        <w:rPr>
          <w:b/>
          <w:sz w:val="20"/>
        </w:rPr>
        <w:t xml:space="preserve">Last updated: </w:t>
      </w:r>
      <w:r w:rsidR="00F428FD">
        <w:rPr>
          <w:b/>
          <w:sz w:val="20"/>
        </w:rPr>
        <w:t>November 2018</w:t>
      </w:r>
    </w:p>
    <w:sectPr w:rsidR="00150844" w:rsidRPr="00480E1C" w:rsidSect="00D7072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A" w:rsidRDefault="0054128A" w:rsidP="00697BC2">
      <w:pPr>
        <w:spacing w:line="240" w:lineRule="auto"/>
      </w:pPr>
      <w:r>
        <w:separator/>
      </w:r>
    </w:p>
  </w:endnote>
  <w:endnote w:type="continuationSeparator" w:id="0">
    <w:p w:rsidR="0054128A" w:rsidRDefault="0054128A" w:rsidP="00697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A" w:rsidRDefault="0054128A" w:rsidP="00697BC2">
      <w:pPr>
        <w:spacing w:line="240" w:lineRule="auto"/>
      </w:pPr>
      <w:r>
        <w:separator/>
      </w:r>
    </w:p>
  </w:footnote>
  <w:footnote w:type="continuationSeparator" w:id="0">
    <w:p w:rsidR="0054128A" w:rsidRDefault="0054128A" w:rsidP="00697B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1"/>
    <w:rsid w:val="0005157C"/>
    <w:rsid w:val="00091616"/>
    <w:rsid w:val="000C52AD"/>
    <w:rsid w:val="00105BF3"/>
    <w:rsid w:val="0011726F"/>
    <w:rsid w:val="00150844"/>
    <w:rsid w:val="00151D6E"/>
    <w:rsid w:val="001767C0"/>
    <w:rsid w:val="001B63BD"/>
    <w:rsid w:val="001C1382"/>
    <w:rsid w:val="001F6182"/>
    <w:rsid w:val="0024531D"/>
    <w:rsid w:val="002B4BCE"/>
    <w:rsid w:val="002E16FA"/>
    <w:rsid w:val="002F0107"/>
    <w:rsid w:val="00326750"/>
    <w:rsid w:val="003F2CC1"/>
    <w:rsid w:val="00446400"/>
    <w:rsid w:val="00462D5E"/>
    <w:rsid w:val="00480E1C"/>
    <w:rsid w:val="004E5BF0"/>
    <w:rsid w:val="00515A40"/>
    <w:rsid w:val="00537AAC"/>
    <w:rsid w:val="0054128A"/>
    <w:rsid w:val="00567AFC"/>
    <w:rsid w:val="005A5B48"/>
    <w:rsid w:val="005C3346"/>
    <w:rsid w:val="006073C9"/>
    <w:rsid w:val="006148E2"/>
    <w:rsid w:val="00697BC2"/>
    <w:rsid w:val="006C6A80"/>
    <w:rsid w:val="00712134"/>
    <w:rsid w:val="007B252E"/>
    <w:rsid w:val="007D71B6"/>
    <w:rsid w:val="00802862"/>
    <w:rsid w:val="00855FB3"/>
    <w:rsid w:val="008A6B3D"/>
    <w:rsid w:val="00921FE8"/>
    <w:rsid w:val="009235C1"/>
    <w:rsid w:val="00943349"/>
    <w:rsid w:val="009C5B99"/>
    <w:rsid w:val="00A425B1"/>
    <w:rsid w:val="00A60DF2"/>
    <w:rsid w:val="00A84588"/>
    <w:rsid w:val="00B23A2E"/>
    <w:rsid w:val="00B511EE"/>
    <w:rsid w:val="00B772A4"/>
    <w:rsid w:val="00C4719D"/>
    <w:rsid w:val="00C62C84"/>
    <w:rsid w:val="00C84745"/>
    <w:rsid w:val="00D07951"/>
    <w:rsid w:val="00D36475"/>
    <w:rsid w:val="00D67C16"/>
    <w:rsid w:val="00D70728"/>
    <w:rsid w:val="00DA0575"/>
    <w:rsid w:val="00E0689D"/>
    <w:rsid w:val="00E37249"/>
    <w:rsid w:val="00F30FD2"/>
    <w:rsid w:val="00F428FD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ACD3"/>
  <w15:docId w15:val="{886A956F-DDCC-49C1-9292-C7F7452C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4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F2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F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B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BC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BC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70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5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E06E-1F36-42D8-B49B-51EE5A9A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 Dea AG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Obeng</dc:creator>
  <cp:lastModifiedBy>Johnson, Rob</cp:lastModifiedBy>
  <cp:revision>3</cp:revision>
  <cp:lastPrinted>2012-02-16T15:38:00Z</cp:lastPrinted>
  <dcterms:created xsi:type="dcterms:W3CDTF">2018-11-14T10:58:00Z</dcterms:created>
  <dcterms:modified xsi:type="dcterms:W3CDTF">2018-11-14T10:59:00Z</dcterms:modified>
</cp:coreProperties>
</file>