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57" w:rsidRDefault="006F3A57"/>
    <w:p w:rsidR="006F3A57" w:rsidRDefault="006F3A57"/>
    <w:p w:rsidR="006F3A57" w:rsidRDefault="006F3A57"/>
    <w:p w:rsidR="006F3A57" w:rsidRDefault="006F3A57"/>
    <w:p w:rsidR="006F3A57" w:rsidRDefault="006F3A57"/>
    <w:p w:rsidR="006F3A57" w:rsidRDefault="006F3A57"/>
    <w:p w:rsidR="006F3A57" w:rsidRDefault="006F3A57"/>
    <w:p w:rsidR="006F3A57" w:rsidRDefault="006F3A57"/>
    <w:p w:rsidR="006F3A57" w:rsidRDefault="006F3A57"/>
    <w:p w:rsidR="006F3A57" w:rsidRDefault="006F3A57"/>
    <w:p w:rsidR="006F3A57" w:rsidRDefault="006F3A57"/>
    <w:p w:rsidR="00E5582E" w:rsidRDefault="006F3A57">
      <w:pPr>
        <w:rPr>
          <w:b/>
          <w:sz w:val="72"/>
          <w:szCs w:val="72"/>
        </w:rPr>
      </w:pPr>
      <w:r w:rsidRPr="00C23A59">
        <w:rPr>
          <w:b/>
          <w:sz w:val="72"/>
          <w:szCs w:val="72"/>
        </w:rPr>
        <w:t>GENDER PAY REPORTING</w:t>
      </w:r>
    </w:p>
    <w:p w:rsidR="00E5582E" w:rsidRPr="00E5582E" w:rsidRDefault="00E5582E">
      <w:pPr>
        <w:rPr>
          <w:b/>
          <w:sz w:val="48"/>
          <w:szCs w:val="48"/>
        </w:rPr>
      </w:pPr>
      <w:r w:rsidRPr="00E5582E">
        <w:rPr>
          <w:b/>
          <w:sz w:val="48"/>
          <w:szCs w:val="48"/>
        </w:rPr>
        <w:t>INEOS Chemicals Grangemouth Ltd</w:t>
      </w:r>
    </w:p>
    <w:p w:rsidR="00422228" w:rsidRPr="00422228" w:rsidRDefault="00AD4B28">
      <w:pPr>
        <w:rPr>
          <w:b/>
          <w:sz w:val="36"/>
          <w:szCs w:val="36"/>
        </w:rPr>
      </w:pPr>
      <w:r>
        <w:rPr>
          <w:b/>
          <w:sz w:val="36"/>
          <w:szCs w:val="36"/>
        </w:rPr>
        <w:t xml:space="preserve">March </w:t>
      </w:r>
      <w:r w:rsidR="00126826">
        <w:rPr>
          <w:b/>
          <w:sz w:val="36"/>
          <w:szCs w:val="36"/>
        </w:rPr>
        <w:t>2024</w:t>
      </w:r>
    </w:p>
    <w:p w:rsidR="006F3A57" w:rsidRDefault="006F3A57"/>
    <w:p w:rsidR="006F3A57" w:rsidRDefault="006F3A57"/>
    <w:p w:rsidR="00FE0305" w:rsidRDefault="00FE0305"/>
    <w:p w:rsidR="006F3A57" w:rsidRDefault="006F3A57">
      <w:r>
        <w:br w:type="page"/>
      </w:r>
    </w:p>
    <w:p w:rsidR="006F3A57" w:rsidRPr="00FB37CE" w:rsidRDefault="00126826" w:rsidP="006F3A57">
      <w:pPr>
        <w:rPr>
          <w:b/>
          <w:sz w:val="28"/>
          <w:szCs w:val="28"/>
        </w:rPr>
      </w:pPr>
      <w:r>
        <w:rPr>
          <w:b/>
          <w:sz w:val="28"/>
          <w:szCs w:val="28"/>
        </w:rPr>
        <w:t>Gender Pay Report 2023</w:t>
      </w:r>
      <w:r w:rsidR="006F3A57" w:rsidRPr="00FB37CE">
        <w:rPr>
          <w:b/>
          <w:sz w:val="28"/>
          <w:szCs w:val="28"/>
        </w:rPr>
        <w:br/>
        <w:t xml:space="preserve">Ineos Chemicals Grangemouth Ltd </w:t>
      </w:r>
    </w:p>
    <w:p w:rsidR="008F5727" w:rsidRDefault="008F5727" w:rsidP="008F5727">
      <w:pPr>
        <w:autoSpaceDE w:val="0"/>
        <w:autoSpaceDN w:val="0"/>
        <w:adjustRightInd w:val="0"/>
        <w:spacing w:after="0" w:line="240" w:lineRule="auto"/>
        <w:rPr>
          <w:rFonts w:cstheme="minorHAnsi"/>
          <w:bCs/>
        </w:rPr>
      </w:pPr>
      <w:r w:rsidRPr="00871C3E">
        <w:rPr>
          <w:rFonts w:cstheme="minorHAnsi"/>
          <w:bCs/>
        </w:rPr>
        <w:t xml:space="preserve">INEOS Chemicals Grangemouth Ltd (ICGL) operates on one of the largest industrial </w:t>
      </w:r>
      <w:r>
        <w:rPr>
          <w:rFonts w:cstheme="minorHAnsi"/>
          <w:bCs/>
        </w:rPr>
        <w:t>complexes</w:t>
      </w:r>
      <w:r w:rsidRPr="00871C3E">
        <w:rPr>
          <w:rFonts w:cstheme="minorHAnsi"/>
          <w:bCs/>
        </w:rPr>
        <w:t xml:space="preserve"> in Scotland.</w:t>
      </w:r>
      <w:r w:rsidRPr="00B43636">
        <w:rPr>
          <w:rFonts w:cstheme="minorHAnsi"/>
          <w:bCs/>
        </w:rPr>
        <w:t xml:space="preserve"> </w:t>
      </w:r>
      <w:r w:rsidRPr="00871C3E">
        <w:rPr>
          <w:rFonts w:cstheme="minorHAnsi"/>
          <w:bCs/>
        </w:rPr>
        <w:t xml:space="preserve">The site has a long history of innovation and development. It has benefitted from recent investments by INEOS, designed to ensure the preservation of sustainable UK/ Scottish manufacturing and the high value jobs that our operations support, both directly and indirectly. </w:t>
      </w:r>
    </w:p>
    <w:p w:rsidR="008F5727" w:rsidRDefault="008F5727" w:rsidP="008F5727">
      <w:pPr>
        <w:autoSpaceDE w:val="0"/>
        <w:autoSpaceDN w:val="0"/>
        <w:adjustRightInd w:val="0"/>
        <w:spacing w:after="0" w:line="240" w:lineRule="auto"/>
        <w:rPr>
          <w:rFonts w:cstheme="minorHAnsi"/>
          <w:bCs/>
        </w:rPr>
      </w:pPr>
    </w:p>
    <w:p w:rsidR="008F5727" w:rsidRDefault="008F5727" w:rsidP="008F5727">
      <w:pPr>
        <w:autoSpaceDE w:val="0"/>
        <w:autoSpaceDN w:val="0"/>
        <w:adjustRightInd w:val="0"/>
        <w:spacing w:after="0" w:line="240" w:lineRule="auto"/>
        <w:rPr>
          <w:rFonts w:cstheme="minorHAnsi"/>
          <w:bCs/>
          <w:sz w:val="20"/>
          <w:szCs w:val="20"/>
        </w:rPr>
      </w:pPr>
      <w:r>
        <w:rPr>
          <w:rFonts w:cstheme="minorHAnsi"/>
          <w:bCs/>
        </w:rPr>
        <w:t xml:space="preserve">These investments continue as we deliver on our road map and focus on a just transition to Net Zero manufacturing operations by 2045.  And this is vital because our products </w:t>
      </w:r>
      <w:r w:rsidRPr="00FA57E2">
        <w:rPr>
          <w:rFonts w:cstheme="minorHAnsi"/>
          <w:bCs/>
        </w:rPr>
        <w:t xml:space="preserve">are used as the building blocks in a multitude of applications which both enable and enhance many aspects of </w:t>
      </w:r>
      <w:r>
        <w:rPr>
          <w:rFonts w:cstheme="minorHAnsi"/>
          <w:bCs/>
        </w:rPr>
        <w:t xml:space="preserve">modern </w:t>
      </w:r>
      <w:r w:rsidRPr="00FA57E2">
        <w:rPr>
          <w:rFonts w:cstheme="minorHAnsi"/>
          <w:bCs/>
        </w:rPr>
        <w:t>life today</w:t>
      </w:r>
      <w:r>
        <w:rPr>
          <w:rFonts w:cstheme="minorHAnsi"/>
          <w:bCs/>
        </w:rPr>
        <w:t>. These raw materials are</w:t>
      </w:r>
      <w:r w:rsidRPr="00FA57E2">
        <w:rPr>
          <w:rFonts w:cstheme="minorHAnsi"/>
          <w:bCs/>
        </w:rPr>
        <w:t xml:space="preserve"> transformed into housing and construction materials, cabling and insulation, automotive components, fibres and textiles, food packaging as well as being extensively used in the pharmaceutical and healthcare industry.</w:t>
      </w:r>
      <w:r>
        <w:rPr>
          <w:rFonts w:cstheme="minorHAnsi"/>
          <w:bCs/>
        </w:rPr>
        <w:t xml:space="preserve"> In the drive for a sustainable future that will benefit all, o</w:t>
      </w:r>
      <w:r w:rsidRPr="00871C3E">
        <w:rPr>
          <w:rFonts w:cstheme="minorHAnsi"/>
          <w:bCs/>
        </w:rPr>
        <w:t>ur products help other sectors to reduce their carbon footprints too: ‘</w:t>
      </w:r>
      <w:proofErr w:type="spellStart"/>
      <w:r w:rsidRPr="00871C3E">
        <w:rPr>
          <w:rFonts w:cstheme="minorHAnsi"/>
          <w:bCs/>
        </w:rPr>
        <w:t>lightweighting</w:t>
      </w:r>
      <w:proofErr w:type="spellEnd"/>
      <w:r w:rsidRPr="00871C3E">
        <w:rPr>
          <w:rFonts w:cstheme="minorHAnsi"/>
          <w:bCs/>
        </w:rPr>
        <w:t xml:space="preserve">’ </w:t>
      </w:r>
      <w:r>
        <w:rPr>
          <w:rFonts w:cstheme="minorHAnsi"/>
          <w:bCs/>
        </w:rPr>
        <w:t xml:space="preserve">materials and </w:t>
      </w:r>
      <w:r w:rsidRPr="00871C3E">
        <w:rPr>
          <w:rFonts w:cstheme="minorHAnsi"/>
          <w:bCs/>
        </w:rPr>
        <w:t>vehicles, longer shelf-lives and reducing food waste</w:t>
      </w:r>
      <w:r>
        <w:rPr>
          <w:rFonts w:cstheme="minorHAnsi"/>
          <w:bCs/>
        </w:rPr>
        <w:t xml:space="preserve"> for example</w:t>
      </w:r>
      <w:r w:rsidRPr="00871C3E">
        <w:rPr>
          <w:rFonts w:cstheme="minorHAnsi"/>
          <w:bCs/>
        </w:rPr>
        <w:t>.</w:t>
      </w:r>
      <w:r w:rsidRPr="00411045">
        <w:rPr>
          <w:rFonts w:cstheme="minorHAnsi"/>
          <w:bCs/>
          <w:sz w:val="20"/>
          <w:szCs w:val="20"/>
        </w:rPr>
        <w:t xml:space="preserve">  </w:t>
      </w:r>
    </w:p>
    <w:p w:rsidR="008F5727" w:rsidRPr="00411045" w:rsidRDefault="008F5727" w:rsidP="008F5727">
      <w:pPr>
        <w:autoSpaceDE w:val="0"/>
        <w:autoSpaceDN w:val="0"/>
        <w:adjustRightInd w:val="0"/>
        <w:spacing w:after="0" w:line="240" w:lineRule="auto"/>
        <w:rPr>
          <w:rFonts w:cstheme="minorHAnsi"/>
          <w:bCs/>
          <w:sz w:val="20"/>
          <w:szCs w:val="20"/>
        </w:rPr>
      </w:pPr>
    </w:p>
    <w:p w:rsidR="008F5727" w:rsidRPr="005A6458" w:rsidRDefault="008F5727" w:rsidP="008F5727">
      <w:pPr>
        <w:rPr>
          <w:rFonts w:cstheme="minorHAnsi"/>
          <w:bCs/>
        </w:rPr>
      </w:pPr>
      <w:r w:rsidRPr="005A6458">
        <w:rPr>
          <w:rFonts w:cstheme="minorHAnsi"/>
          <w:bCs/>
        </w:rPr>
        <w:t>We aim to establish and maintain a working environment where all employees are treated fairly and equally, ensuring equal opportunities for all. Skills Development is high on our ‘agenda’ with opportunities for current colleagues to grow their skills and experiences through focussed training and career opportunities, whatever their role and position in the organisation, resulting in secure and fulfilling careers.  We value our employees and appreciate the benefits of having an inclusive and diverse workforce.</w:t>
      </w:r>
    </w:p>
    <w:p w:rsidR="00BF084D" w:rsidRDefault="00820A06" w:rsidP="006F3A57">
      <w:r>
        <w:t>Under UK Legislation businesses with more than 250 employees are required to publish data about their gender pay gap</w:t>
      </w:r>
      <w:r w:rsidR="00BF084D">
        <w:t>.</w:t>
      </w:r>
    </w:p>
    <w:p w:rsidR="00BA5E22" w:rsidRDefault="00BA5E22" w:rsidP="006F3A57">
      <w:r>
        <w:t>The regulations require us to report on: -</w:t>
      </w:r>
    </w:p>
    <w:tbl>
      <w:tblPr>
        <w:tblStyle w:val="TableGrid"/>
        <w:tblW w:w="0" w:type="auto"/>
        <w:tblLook w:val="04A0" w:firstRow="1" w:lastRow="0" w:firstColumn="1" w:lastColumn="0" w:noHBand="0" w:noVBand="1"/>
      </w:tblPr>
      <w:tblGrid>
        <w:gridCol w:w="2689"/>
        <w:gridCol w:w="6327"/>
      </w:tblGrid>
      <w:tr w:rsidR="00BA5E22" w:rsidTr="00A00619">
        <w:trPr>
          <w:trHeight w:val="509"/>
        </w:trPr>
        <w:tc>
          <w:tcPr>
            <w:tcW w:w="2689" w:type="dxa"/>
          </w:tcPr>
          <w:p w:rsidR="00BA5E22" w:rsidRPr="00A00619" w:rsidRDefault="00BA5E22" w:rsidP="006F3A57">
            <w:pPr>
              <w:rPr>
                <w:rFonts w:cstheme="minorHAnsi"/>
              </w:rPr>
            </w:pPr>
            <w:r w:rsidRPr="00A00619">
              <w:rPr>
                <w:rFonts w:cstheme="minorHAnsi"/>
                <w:b/>
                <w:bCs/>
                <w:color w:val="000000" w:themeColor="text1"/>
                <w:sz w:val="20"/>
                <w:szCs w:val="20"/>
              </w:rPr>
              <w:t>Mean gender pay gap</w:t>
            </w:r>
          </w:p>
        </w:tc>
        <w:tc>
          <w:tcPr>
            <w:tcW w:w="6327" w:type="dxa"/>
          </w:tcPr>
          <w:p w:rsidR="00BA5E22" w:rsidRPr="00A00619" w:rsidRDefault="00BA5E22" w:rsidP="00A00619">
            <w:pPr>
              <w:autoSpaceDE w:val="0"/>
              <w:autoSpaceDN w:val="0"/>
              <w:adjustRightInd w:val="0"/>
              <w:rPr>
                <w:rFonts w:cstheme="minorHAnsi"/>
              </w:rPr>
            </w:pPr>
            <w:r w:rsidRPr="00A00619">
              <w:rPr>
                <w:rFonts w:cstheme="minorHAnsi"/>
                <w:color w:val="3C3C3B"/>
                <w:sz w:val="16"/>
                <w:szCs w:val="16"/>
              </w:rPr>
              <w:t>The difference between the mean hourly rate of pay of male full-pay relevant employees and that of female full-pay relevant employees</w:t>
            </w:r>
          </w:p>
        </w:tc>
      </w:tr>
      <w:tr w:rsidR="00BA5E22" w:rsidTr="00A00619">
        <w:trPr>
          <w:trHeight w:val="403"/>
        </w:trPr>
        <w:tc>
          <w:tcPr>
            <w:tcW w:w="2689" w:type="dxa"/>
          </w:tcPr>
          <w:p w:rsidR="00BA5E22" w:rsidRPr="00A00619" w:rsidRDefault="00BA5E22" w:rsidP="006F3A57">
            <w:pPr>
              <w:rPr>
                <w:rFonts w:cstheme="minorHAnsi"/>
                <w:b/>
                <w:bCs/>
                <w:color w:val="000000" w:themeColor="text1"/>
                <w:sz w:val="20"/>
                <w:szCs w:val="20"/>
              </w:rPr>
            </w:pPr>
            <w:r w:rsidRPr="00A00619">
              <w:rPr>
                <w:rFonts w:cstheme="minorHAnsi"/>
                <w:b/>
                <w:bCs/>
                <w:color w:val="000000" w:themeColor="text1"/>
                <w:sz w:val="20"/>
                <w:szCs w:val="20"/>
              </w:rPr>
              <w:t>Median gender pay gap</w:t>
            </w:r>
          </w:p>
        </w:tc>
        <w:tc>
          <w:tcPr>
            <w:tcW w:w="6327" w:type="dxa"/>
          </w:tcPr>
          <w:p w:rsidR="00BA5E22" w:rsidRPr="00A00619" w:rsidRDefault="00A00619" w:rsidP="00A00619">
            <w:pPr>
              <w:autoSpaceDE w:val="0"/>
              <w:autoSpaceDN w:val="0"/>
              <w:adjustRightInd w:val="0"/>
              <w:rPr>
                <w:rFonts w:cstheme="minorHAnsi"/>
              </w:rPr>
            </w:pPr>
            <w:r w:rsidRPr="00A00619">
              <w:rPr>
                <w:rFonts w:cstheme="minorHAnsi"/>
                <w:color w:val="3C3C3B"/>
                <w:sz w:val="16"/>
                <w:szCs w:val="16"/>
              </w:rPr>
              <w:t>The difference</w:t>
            </w:r>
            <w:r w:rsidR="00BA5E22" w:rsidRPr="00A00619">
              <w:rPr>
                <w:rFonts w:cstheme="minorHAnsi"/>
                <w:color w:val="3C3C3B"/>
                <w:sz w:val="16"/>
                <w:szCs w:val="16"/>
              </w:rPr>
              <w:t xml:space="preserve"> between the median hourly rate of pay of male full-pay</w:t>
            </w:r>
            <w:r w:rsidRPr="00A00619">
              <w:rPr>
                <w:rFonts w:cstheme="minorHAnsi"/>
                <w:color w:val="3C3C3B"/>
                <w:sz w:val="16"/>
                <w:szCs w:val="16"/>
              </w:rPr>
              <w:t xml:space="preserve"> </w:t>
            </w:r>
            <w:r w:rsidR="00BA5E22" w:rsidRPr="00A00619">
              <w:rPr>
                <w:rFonts w:cstheme="minorHAnsi"/>
                <w:color w:val="3C3C3B"/>
                <w:sz w:val="16"/>
                <w:szCs w:val="16"/>
              </w:rPr>
              <w:t>relevant employees and that of female full-pay relevant employees</w:t>
            </w:r>
          </w:p>
        </w:tc>
      </w:tr>
      <w:tr w:rsidR="00BA5E22" w:rsidTr="00A00619">
        <w:trPr>
          <w:trHeight w:val="411"/>
        </w:trPr>
        <w:tc>
          <w:tcPr>
            <w:tcW w:w="2689" w:type="dxa"/>
          </w:tcPr>
          <w:p w:rsidR="00BA5E22" w:rsidRPr="00A00619" w:rsidRDefault="00BA5E22" w:rsidP="006F3A57">
            <w:pPr>
              <w:rPr>
                <w:rFonts w:cstheme="minorHAnsi"/>
                <w:b/>
                <w:bCs/>
                <w:color w:val="000000" w:themeColor="text1"/>
                <w:sz w:val="20"/>
                <w:szCs w:val="20"/>
              </w:rPr>
            </w:pPr>
            <w:r w:rsidRPr="00A00619">
              <w:rPr>
                <w:rFonts w:cstheme="minorHAnsi"/>
                <w:b/>
                <w:bCs/>
                <w:color w:val="000000" w:themeColor="text1"/>
                <w:sz w:val="20"/>
                <w:szCs w:val="20"/>
              </w:rPr>
              <w:t>Mean bonus gap</w:t>
            </w:r>
          </w:p>
        </w:tc>
        <w:tc>
          <w:tcPr>
            <w:tcW w:w="6327" w:type="dxa"/>
          </w:tcPr>
          <w:p w:rsidR="00BA5E22" w:rsidRPr="00A00619" w:rsidRDefault="00A00619" w:rsidP="00A00619">
            <w:pPr>
              <w:autoSpaceDE w:val="0"/>
              <w:autoSpaceDN w:val="0"/>
              <w:adjustRightInd w:val="0"/>
              <w:rPr>
                <w:rFonts w:cstheme="minorHAnsi"/>
              </w:rPr>
            </w:pPr>
            <w:r w:rsidRPr="00A00619">
              <w:rPr>
                <w:rFonts w:cstheme="minorHAnsi"/>
                <w:color w:val="3C3C3B"/>
                <w:sz w:val="16"/>
                <w:szCs w:val="16"/>
              </w:rPr>
              <w:t>The difference</w:t>
            </w:r>
            <w:r w:rsidR="00BA5E22" w:rsidRPr="00A00619">
              <w:rPr>
                <w:rFonts w:cstheme="minorHAnsi"/>
                <w:color w:val="3C3C3B"/>
                <w:sz w:val="16"/>
                <w:szCs w:val="16"/>
              </w:rPr>
              <w:t xml:space="preserve"> between the mean bonus pay paid to male relevant</w:t>
            </w:r>
            <w:r w:rsidRPr="00A00619">
              <w:rPr>
                <w:rFonts w:cstheme="minorHAnsi"/>
                <w:color w:val="3C3C3B"/>
                <w:sz w:val="16"/>
                <w:szCs w:val="16"/>
              </w:rPr>
              <w:t xml:space="preserve"> </w:t>
            </w:r>
            <w:r w:rsidR="00BA5E22" w:rsidRPr="00A00619">
              <w:rPr>
                <w:rFonts w:cstheme="minorHAnsi"/>
                <w:color w:val="3C3C3B"/>
                <w:sz w:val="16"/>
                <w:szCs w:val="16"/>
              </w:rPr>
              <w:t>employees and that paid to female relevant employees</w:t>
            </w:r>
          </w:p>
        </w:tc>
      </w:tr>
      <w:tr w:rsidR="00BA5E22" w:rsidTr="00A00619">
        <w:trPr>
          <w:trHeight w:val="433"/>
        </w:trPr>
        <w:tc>
          <w:tcPr>
            <w:tcW w:w="2689" w:type="dxa"/>
          </w:tcPr>
          <w:p w:rsidR="00BA5E22" w:rsidRPr="00A00619" w:rsidRDefault="00BA5E22" w:rsidP="006F3A57">
            <w:pPr>
              <w:rPr>
                <w:rFonts w:cstheme="minorHAnsi"/>
                <w:b/>
                <w:bCs/>
                <w:color w:val="000000" w:themeColor="text1"/>
                <w:sz w:val="20"/>
                <w:szCs w:val="20"/>
              </w:rPr>
            </w:pPr>
            <w:r w:rsidRPr="00A00619">
              <w:rPr>
                <w:rFonts w:cstheme="minorHAnsi"/>
                <w:b/>
                <w:bCs/>
                <w:color w:val="000000" w:themeColor="text1"/>
                <w:sz w:val="20"/>
                <w:szCs w:val="20"/>
              </w:rPr>
              <w:t>Median bonus gap</w:t>
            </w:r>
          </w:p>
        </w:tc>
        <w:tc>
          <w:tcPr>
            <w:tcW w:w="6327" w:type="dxa"/>
          </w:tcPr>
          <w:p w:rsidR="00BA5E22" w:rsidRPr="00A00619" w:rsidRDefault="00A00619" w:rsidP="00A00619">
            <w:pPr>
              <w:autoSpaceDE w:val="0"/>
              <w:autoSpaceDN w:val="0"/>
              <w:adjustRightInd w:val="0"/>
              <w:rPr>
                <w:rFonts w:cstheme="minorHAnsi"/>
              </w:rPr>
            </w:pPr>
            <w:r w:rsidRPr="00A00619">
              <w:rPr>
                <w:rFonts w:cstheme="minorHAnsi"/>
                <w:color w:val="3C3C3B"/>
                <w:sz w:val="16"/>
                <w:szCs w:val="16"/>
              </w:rPr>
              <w:t>The difference</w:t>
            </w:r>
            <w:r w:rsidR="00BA5E22" w:rsidRPr="00A00619">
              <w:rPr>
                <w:rFonts w:cstheme="minorHAnsi"/>
                <w:color w:val="3C3C3B"/>
                <w:sz w:val="16"/>
                <w:szCs w:val="16"/>
              </w:rPr>
              <w:t xml:space="preserve"> between the median bonus pay paid to male relevan</w:t>
            </w:r>
            <w:r w:rsidRPr="00A00619">
              <w:rPr>
                <w:rFonts w:cstheme="minorHAnsi"/>
                <w:color w:val="3C3C3B"/>
                <w:sz w:val="16"/>
                <w:szCs w:val="16"/>
              </w:rPr>
              <w:t xml:space="preserve">t </w:t>
            </w:r>
            <w:r w:rsidR="00BA5E22" w:rsidRPr="00A00619">
              <w:rPr>
                <w:rFonts w:cstheme="minorHAnsi"/>
                <w:color w:val="3C3C3B"/>
                <w:sz w:val="16"/>
                <w:szCs w:val="16"/>
              </w:rPr>
              <w:t>employees and that paid to female relevant employees</w:t>
            </w:r>
          </w:p>
        </w:tc>
      </w:tr>
      <w:tr w:rsidR="00BA5E22" w:rsidTr="00A00619">
        <w:trPr>
          <w:trHeight w:val="397"/>
        </w:trPr>
        <w:tc>
          <w:tcPr>
            <w:tcW w:w="2689" w:type="dxa"/>
          </w:tcPr>
          <w:p w:rsidR="00BA5E22" w:rsidRPr="00A00619" w:rsidRDefault="00BA5E22" w:rsidP="006F3A57">
            <w:pPr>
              <w:rPr>
                <w:rFonts w:cstheme="minorHAnsi"/>
                <w:b/>
                <w:bCs/>
                <w:color w:val="000000" w:themeColor="text1"/>
                <w:sz w:val="20"/>
                <w:szCs w:val="20"/>
              </w:rPr>
            </w:pPr>
            <w:r w:rsidRPr="00A00619">
              <w:rPr>
                <w:rFonts w:cstheme="minorHAnsi"/>
                <w:b/>
                <w:bCs/>
                <w:color w:val="000000" w:themeColor="text1"/>
                <w:sz w:val="20"/>
                <w:szCs w:val="20"/>
              </w:rPr>
              <w:t>Bonus proportions</w:t>
            </w:r>
          </w:p>
        </w:tc>
        <w:tc>
          <w:tcPr>
            <w:tcW w:w="6327" w:type="dxa"/>
          </w:tcPr>
          <w:p w:rsidR="00BA5E22" w:rsidRPr="00A00619" w:rsidRDefault="00BA5E22" w:rsidP="00A00619">
            <w:pPr>
              <w:autoSpaceDE w:val="0"/>
              <w:autoSpaceDN w:val="0"/>
              <w:adjustRightInd w:val="0"/>
              <w:rPr>
                <w:rFonts w:cstheme="minorHAnsi"/>
              </w:rPr>
            </w:pPr>
            <w:r w:rsidRPr="00A00619">
              <w:rPr>
                <w:rFonts w:cstheme="minorHAnsi"/>
                <w:color w:val="3C3C3B"/>
                <w:sz w:val="16"/>
                <w:szCs w:val="16"/>
              </w:rPr>
              <w:t>The proportions of male and female relevant employees who were</w:t>
            </w:r>
            <w:r w:rsidR="00A00619" w:rsidRPr="00A00619">
              <w:rPr>
                <w:rFonts w:cstheme="minorHAnsi"/>
                <w:color w:val="3C3C3B"/>
                <w:sz w:val="16"/>
                <w:szCs w:val="16"/>
              </w:rPr>
              <w:t xml:space="preserve"> </w:t>
            </w:r>
            <w:r w:rsidRPr="00A00619">
              <w:rPr>
                <w:rFonts w:cstheme="minorHAnsi"/>
                <w:color w:val="3C3C3B"/>
                <w:sz w:val="16"/>
                <w:szCs w:val="16"/>
              </w:rPr>
              <w:t>paid bonus pay during the relevant period</w:t>
            </w:r>
          </w:p>
        </w:tc>
      </w:tr>
      <w:tr w:rsidR="00BA5E22" w:rsidTr="00A00619">
        <w:trPr>
          <w:trHeight w:val="458"/>
        </w:trPr>
        <w:tc>
          <w:tcPr>
            <w:tcW w:w="2689" w:type="dxa"/>
          </w:tcPr>
          <w:p w:rsidR="00BA5E22" w:rsidRPr="00A00619" w:rsidRDefault="00BA5E22" w:rsidP="006F3A57">
            <w:pPr>
              <w:rPr>
                <w:rFonts w:cstheme="minorHAnsi"/>
                <w:b/>
                <w:bCs/>
                <w:color w:val="000000" w:themeColor="text1"/>
                <w:sz w:val="20"/>
                <w:szCs w:val="20"/>
              </w:rPr>
            </w:pPr>
            <w:r w:rsidRPr="00A00619">
              <w:rPr>
                <w:rFonts w:cstheme="minorHAnsi"/>
                <w:b/>
                <w:bCs/>
                <w:color w:val="000000" w:themeColor="text1"/>
                <w:sz w:val="20"/>
                <w:szCs w:val="20"/>
              </w:rPr>
              <w:t>Quartile pay bands</w:t>
            </w:r>
          </w:p>
        </w:tc>
        <w:tc>
          <w:tcPr>
            <w:tcW w:w="6327" w:type="dxa"/>
          </w:tcPr>
          <w:p w:rsidR="00BA5E22" w:rsidRPr="00A00619" w:rsidRDefault="00BA5E22" w:rsidP="00A00619">
            <w:pPr>
              <w:autoSpaceDE w:val="0"/>
              <w:autoSpaceDN w:val="0"/>
              <w:adjustRightInd w:val="0"/>
              <w:rPr>
                <w:rFonts w:cstheme="minorHAnsi"/>
              </w:rPr>
            </w:pPr>
            <w:r w:rsidRPr="00A00619">
              <w:rPr>
                <w:rFonts w:cstheme="minorHAnsi"/>
                <w:color w:val="3C3C3B"/>
                <w:sz w:val="16"/>
                <w:szCs w:val="16"/>
              </w:rPr>
              <w:t>The proportions of male and female full-pay relevant employees in</w:t>
            </w:r>
            <w:r w:rsidR="00A00619" w:rsidRPr="00A00619">
              <w:rPr>
                <w:rFonts w:cstheme="minorHAnsi"/>
                <w:color w:val="3C3C3B"/>
                <w:sz w:val="16"/>
                <w:szCs w:val="16"/>
              </w:rPr>
              <w:t xml:space="preserve"> </w:t>
            </w:r>
            <w:r w:rsidRPr="00A00619">
              <w:rPr>
                <w:rFonts w:cstheme="minorHAnsi"/>
                <w:color w:val="3C3C3B"/>
                <w:sz w:val="16"/>
                <w:szCs w:val="16"/>
              </w:rPr>
              <w:t>the lower, lower middle, upper middle and upper quartile pay bands</w:t>
            </w:r>
          </w:p>
        </w:tc>
      </w:tr>
    </w:tbl>
    <w:p w:rsidR="00BA5E22" w:rsidRDefault="00BA5E22" w:rsidP="006F3A57"/>
    <w:p w:rsidR="00BA5E22" w:rsidRDefault="00AF497C" w:rsidP="006F3A57">
      <w:r>
        <w:t>This</w:t>
      </w:r>
      <w:r w:rsidR="00A00619">
        <w:t xml:space="preserve"> report is </w:t>
      </w:r>
      <w:r w:rsidR="00097156">
        <w:t xml:space="preserve">based on a data as of </w:t>
      </w:r>
      <w:r w:rsidR="007004F9">
        <w:t>April 202</w:t>
      </w:r>
      <w:r w:rsidR="00126826">
        <w:t>3</w:t>
      </w:r>
      <w:r w:rsidR="00A00619">
        <w:t xml:space="preserve">, looking at hourly pay </w:t>
      </w:r>
      <w:r w:rsidR="00C23A59">
        <w:t>as defined in the regulations.  This includes base pay</w:t>
      </w:r>
      <w:r w:rsidR="00097156">
        <w:t xml:space="preserve">, </w:t>
      </w:r>
      <w:r w:rsidR="00C23A59">
        <w:t xml:space="preserve">allowances and </w:t>
      </w:r>
      <w:r w:rsidR="00277A7F">
        <w:t>pro-rated</w:t>
      </w:r>
      <w:r w:rsidR="00C23A59">
        <w:t xml:space="preserve"> bonuses paid in the 12 months ending the </w:t>
      </w:r>
      <w:r w:rsidR="00AD4B28">
        <w:t>5</w:t>
      </w:r>
      <w:r w:rsidR="00C23A59" w:rsidRPr="00C23A59">
        <w:rPr>
          <w:vertAlign w:val="superscript"/>
        </w:rPr>
        <w:t>th</w:t>
      </w:r>
      <w:r w:rsidR="00126826">
        <w:t xml:space="preserve"> April 2023</w:t>
      </w:r>
      <w:r w:rsidR="00AD4B28">
        <w:t>.</w:t>
      </w:r>
    </w:p>
    <w:p w:rsidR="00380092" w:rsidRPr="00BF084D" w:rsidRDefault="00380092" w:rsidP="00867F34">
      <w:pPr>
        <w:autoSpaceDE w:val="0"/>
        <w:autoSpaceDN w:val="0"/>
        <w:adjustRightInd w:val="0"/>
        <w:spacing w:after="0" w:line="240" w:lineRule="auto"/>
        <w:rPr>
          <w:rFonts w:cstheme="minorHAnsi"/>
          <w:b/>
          <w:bCs/>
          <w:color w:val="520D5C"/>
          <w:sz w:val="28"/>
          <w:szCs w:val="28"/>
        </w:rPr>
      </w:pPr>
      <w:r w:rsidRPr="00BF084D">
        <w:rPr>
          <w:rFonts w:cstheme="minorHAnsi"/>
          <w:b/>
          <w:bCs/>
          <w:color w:val="520D5C"/>
          <w:sz w:val="28"/>
          <w:szCs w:val="28"/>
        </w:rPr>
        <w:t>Demographics</w:t>
      </w:r>
    </w:p>
    <w:p w:rsidR="005C7378" w:rsidRDefault="00126826" w:rsidP="005C7378">
      <w:pPr>
        <w:jc w:val="center"/>
        <w:rPr>
          <w:rFonts w:ascii="Gotham-Bold" w:hAnsi="Gotham-Bold" w:cs="Gotham-Bold"/>
          <w:b/>
          <w:bCs/>
          <w:color w:val="520D5C"/>
          <w:sz w:val="20"/>
          <w:szCs w:val="20"/>
        </w:rPr>
      </w:pPr>
      <w:r>
        <w:rPr>
          <w:b/>
          <w:sz w:val="28"/>
          <w:szCs w:val="28"/>
        </w:rPr>
        <w:t>572</w:t>
      </w:r>
      <w:r w:rsidR="00277A7F">
        <w:rPr>
          <w:b/>
          <w:sz w:val="28"/>
          <w:szCs w:val="28"/>
        </w:rPr>
        <w:t xml:space="preserve"> Full Pay Relevant</w:t>
      </w:r>
      <w:r w:rsidR="009C7976" w:rsidRPr="00380092">
        <w:rPr>
          <w:b/>
          <w:sz w:val="28"/>
          <w:szCs w:val="28"/>
        </w:rPr>
        <w:t xml:space="preserve"> Employees</w:t>
      </w:r>
    </w:p>
    <w:p w:rsidR="005C7378" w:rsidRDefault="005C7378" w:rsidP="00117E70">
      <w:pPr>
        <w:autoSpaceDE w:val="0"/>
        <w:autoSpaceDN w:val="0"/>
        <w:adjustRightInd w:val="0"/>
        <w:spacing w:after="0" w:line="240" w:lineRule="auto"/>
        <w:jc w:val="center"/>
        <w:rPr>
          <w:rFonts w:ascii="Gotham-Bold" w:hAnsi="Gotham-Bold" w:cs="Gotham-Bold"/>
          <w:b/>
          <w:bCs/>
          <w:color w:val="520D5C"/>
          <w:sz w:val="20"/>
          <w:szCs w:val="20"/>
        </w:rPr>
      </w:pPr>
      <w:r>
        <w:rPr>
          <w:rFonts w:ascii="Gotham-Bold" w:hAnsi="Gotham-Bold" w:cs="Gotham-Bold"/>
          <w:b/>
          <w:bCs/>
          <w:noProof/>
          <w:color w:val="520D5C"/>
          <w:sz w:val="20"/>
          <w:szCs w:val="20"/>
          <w:lang w:eastAsia="en-GB"/>
        </w:rPr>
        <w:drawing>
          <wp:inline distT="0" distB="0" distL="0" distR="0" wp14:anchorId="25B5785C" wp14:editId="3DD7308C">
            <wp:extent cx="868680" cy="8686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p w:rsidR="006F3A57" w:rsidRDefault="00117E70" w:rsidP="00117E70">
      <w:pPr>
        <w:autoSpaceDE w:val="0"/>
        <w:autoSpaceDN w:val="0"/>
        <w:adjustRightInd w:val="0"/>
        <w:spacing w:after="0" w:line="240" w:lineRule="auto"/>
        <w:jc w:val="center"/>
        <w:rPr>
          <w:rFonts w:ascii="Gotham-Bold" w:hAnsi="Gotham-Bold" w:cs="Gotham-Bold"/>
          <w:b/>
          <w:bCs/>
          <w:color w:val="520D5C"/>
          <w:sz w:val="20"/>
          <w:szCs w:val="20"/>
        </w:rPr>
      </w:pPr>
      <w:r>
        <w:rPr>
          <w:rFonts w:ascii="Gotham-Bold" w:hAnsi="Gotham-Bold" w:cs="Gotham-Bold"/>
          <w:b/>
          <w:bCs/>
          <w:color w:val="520D5C"/>
          <w:sz w:val="20"/>
          <w:szCs w:val="20"/>
        </w:rPr>
        <w:t>1</w:t>
      </w:r>
      <w:r w:rsidR="00126826">
        <w:rPr>
          <w:rFonts w:ascii="Gotham-Bold" w:hAnsi="Gotham-Bold" w:cs="Gotham-Bold"/>
          <w:b/>
          <w:bCs/>
          <w:color w:val="520D5C"/>
          <w:sz w:val="20"/>
          <w:szCs w:val="20"/>
        </w:rPr>
        <w:t>21</w:t>
      </w:r>
      <w:r w:rsidR="005C7378">
        <w:rPr>
          <w:rFonts w:ascii="Gotham-Bold" w:hAnsi="Gotham-Bold" w:cs="Gotham-Bold"/>
          <w:b/>
          <w:bCs/>
          <w:color w:val="520D5C"/>
          <w:sz w:val="20"/>
          <w:szCs w:val="20"/>
        </w:rPr>
        <w:t xml:space="preserve"> </w:t>
      </w:r>
      <w:r>
        <w:rPr>
          <w:rFonts w:ascii="Gotham-Bold" w:hAnsi="Gotham-Bold" w:cs="Gotham-Bold"/>
          <w:b/>
          <w:bCs/>
          <w:color w:val="520D5C"/>
          <w:sz w:val="20"/>
          <w:szCs w:val="20"/>
        </w:rPr>
        <w:t>(2</w:t>
      </w:r>
      <w:r w:rsidR="00126826">
        <w:rPr>
          <w:rFonts w:ascii="Gotham-Bold" w:hAnsi="Gotham-Bold" w:cs="Gotham-Bold"/>
          <w:b/>
          <w:bCs/>
          <w:color w:val="520D5C"/>
          <w:sz w:val="20"/>
          <w:szCs w:val="20"/>
        </w:rPr>
        <w:t>1%)</w:t>
      </w:r>
      <w:r w:rsidR="00126826">
        <w:rPr>
          <w:rFonts w:ascii="Gotham-Bold" w:hAnsi="Gotham-Bold" w:cs="Gotham-Bold"/>
          <w:b/>
          <w:bCs/>
          <w:color w:val="520D5C"/>
          <w:sz w:val="20"/>
          <w:szCs w:val="20"/>
        </w:rPr>
        <w:tab/>
        <w:t>451</w:t>
      </w:r>
      <w:r>
        <w:rPr>
          <w:rFonts w:ascii="Gotham-Bold" w:hAnsi="Gotham-Bold" w:cs="Gotham-Bold"/>
          <w:b/>
          <w:bCs/>
          <w:color w:val="520D5C"/>
          <w:sz w:val="20"/>
          <w:szCs w:val="20"/>
        </w:rPr>
        <w:t xml:space="preserve"> (</w:t>
      </w:r>
      <w:r w:rsidR="006F70BA">
        <w:rPr>
          <w:rFonts w:ascii="Gotham-Bold" w:hAnsi="Gotham-Bold" w:cs="Gotham-Bold"/>
          <w:b/>
          <w:bCs/>
          <w:color w:val="520D5C"/>
          <w:sz w:val="20"/>
          <w:szCs w:val="20"/>
        </w:rPr>
        <w:t>79</w:t>
      </w:r>
      <w:r>
        <w:rPr>
          <w:rFonts w:ascii="Gotham-Bold" w:hAnsi="Gotham-Bold" w:cs="Gotham-Bold"/>
          <w:b/>
          <w:bCs/>
          <w:color w:val="520D5C"/>
          <w:sz w:val="20"/>
          <w:szCs w:val="20"/>
        </w:rPr>
        <w:t>%)</w:t>
      </w:r>
    </w:p>
    <w:p w:rsidR="006F3A57" w:rsidRDefault="00BF084D" w:rsidP="00117E70">
      <w:pPr>
        <w:autoSpaceDE w:val="0"/>
        <w:autoSpaceDN w:val="0"/>
        <w:adjustRightInd w:val="0"/>
        <w:spacing w:after="0" w:line="240" w:lineRule="auto"/>
        <w:jc w:val="center"/>
        <w:rPr>
          <w:rFonts w:ascii="Gotham-Bold" w:hAnsi="Gotham-Bold" w:cs="Gotham-Bold"/>
          <w:b/>
          <w:bCs/>
          <w:color w:val="520D5C"/>
          <w:sz w:val="20"/>
          <w:szCs w:val="20"/>
        </w:rPr>
      </w:pPr>
      <w:r>
        <w:rPr>
          <w:noProof/>
          <w:lang w:eastAsia="en-GB"/>
        </w:rPr>
        <mc:AlternateContent>
          <mc:Choice Requires="cx1">
            <w:drawing>
              <wp:inline distT="0" distB="0" distL="0" distR="0" wp14:anchorId="0C814F48" wp14:editId="57CB2611">
                <wp:extent cx="3099436" cy="1712594"/>
                <wp:effectExtent l="0" t="0" r="5715" b="2540"/>
                <wp:docPr id="1"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6"/>
                  </a:graphicData>
                </a:graphic>
              </wp:inline>
            </w:drawing>
          </mc:Choice>
          <mc:Fallback>
            <w:drawing>
              <wp:inline distT="0" distB="0" distL="0" distR="0" wp14:anchorId="0C814F48" wp14:editId="57CB2611">
                <wp:extent cx="3099436" cy="1712594"/>
                <wp:effectExtent l="0" t="0" r="5715" b="254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7"/>
                        <a:stretch>
                          <a:fillRect/>
                        </a:stretch>
                      </pic:blipFill>
                      <pic:spPr>
                        <a:xfrm>
                          <a:off x="0" y="0"/>
                          <a:ext cx="3099435" cy="1711960"/>
                        </a:xfrm>
                        <a:prstGeom prst="rect">
                          <a:avLst/>
                        </a:prstGeom>
                      </pic:spPr>
                    </pic:pic>
                  </a:graphicData>
                </a:graphic>
              </wp:inline>
            </w:drawing>
          </mc:Fallback>
        </mc:AlternateContent>
      </w:r>
    </w:p>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p w:rsidR="00992C1C" w:rsidRDefault="00380092" w:rsidP="00992C1C">
      <w:pPr>
        <w:rPr>
          <w:rFonts w:cstheme="minorHAnsi"/>
          <w:b/>
          <w:bCs/>
          <w:color w:val="520D5C"/>
          <w:sz w:val="28"/>
          <w:szCs w:val="28"/>
        </w:rPr>
      </w:pPr>
      <w:r w:rsidRPr="00AF497C">
        <w:rPr>
          <w:rFonts w:cstheme="minorHAnsi"/>
          <w:b/>
          <w:bCs/>
          <w:color w:val="520D5C"/>
          <w:sz w:val="28"/>
          <w:szCs w:val="28"/>
        </w:rPr>
        <w:t>Pay</w:t>
      </w:r>
    </w:p>
    <w:p w:rsidR="00380092" w:rsidRPr="00992C1C" w:rsidRDefault="00992C1C" w:rsidP="00992C1C">
      <w:pPr>
        <w:rPr>
          <w:rFonts w:cstheme="minorHAnsi"/>
          <w:b/>
          <w:bCs/>
          <w:color w:val="520D5C"/>
          <w:sz w:val="28"/>
          <w:szCs w:val="28"/>
        </w:rPr>
      </w:pPr>
      <w:r>
        <w:t>The gender pay gap relates to differences in average male and female pay within the organisation</w:t>
      </w:r>
      <w:r w:rsidR="0034564C">
        <w:t xml:space="preserve">. </w:t>
      </w:r>
      <w:r>
        <w:t xml:space="preserve"> </w:t>
      </w:r>
      <w:r w:rsidR="0034564C">
        <w:t xml:space="preserve">It </w:t>
      </w:r>
      <w:r>
        <w:t xml:space="preserve">does not compare pay received by men and women doing the same or similar work, this is known as equal pay. </w:t>
      </w:r>
      <w:r w:rsidR="00C508CE">
        <w:t>Our technician pay structure and o</w:t>
      </w:r>
      <w:r w:rsidR="00C508CE" w:rsidRPr="00691D06">
        <w:t xml:space="preserve">ur </w:t>
      </w:r>
      <w:r w:rsidR="00C508CE">
        <w:t>robust job e</w:t>
      </w:r>
      <w:r w:rsidR="00C508CE" w:rsidRPr="00691D06">
        <w:t>valuation process provide us with</w:t>
      </w:r>
      <w:r w:rsidR="00C508CE">
        <w:t xml:space="preserve"> a</w:t>
      </w:r>
      <w:r w:rsidR="00C508CE" w:rsidRPr="00691D06">
        <w:t xml:space="preserve"> disciplined framework </w:t>
      </w:r>
      <w:r w:rsidR="00C508CE">
        <w:t xml:space="preserve">with which </w:t>
      </w:r>
      <w:r w:rsidR="00C508CE" w:rsidRPr="00691D06">
        <w:t xml:space="preserve">to evaluate roles and </w:t>
      </w:r>
      <w:r w:rsidR="00C508CE">
        <w:t xml:space="preserve">to </w:t>
      </w:r>
      <w:r w:rsidR="00C508CE" w:rsidRPr="00691D06">
        <w:t>g</w:t>
      </w:r>
      <w:r w:rsidR="00C508CE">
        <w:t xml:space="preserve">roup employees within our salary ranges </w:t>
      </w:r>
      <w:r w:rsidR="00C508CE" w:rsidRPr="00691D06">
        <w:t>providing a non-discriminatory pay system</w:t>
      </w:r>
      <w:r w:rsidR="00C508CE">
        <w:t>.</w:t>
      </w:r>
      <w:r>
        <w:t xml:space="preserve"> </w:t>
      </w:r>
    </w:p>
    <w:tbl>
      <w:tblPr>
        <w:tblStyle w:val="TableGrid"/>
        <w:tblW w:w="0" w:type="auto"/>
        <w:tblLook w:val="04A0" w:firstRow="1" w:lastRow="0" w:firstColumn="1" w:lastColumn="0" w:noHBand="0" w:noVBand="1"/>
      </w:tblPr>
      <w:tblGrid>
        <w:gridCol w:w="4508"/>
        <w:gridCol w:w="4508"/>
      </w:tblGrid>
      <w:tr w:rsidR="00380092" w:rsidTr="00EF1516">
        <w:tc>
          <w:tcPr>
            <w:tcW w:w="9016" w:type="dxa"/>
            <w:gridSpan w:val="2"/>
          </w:tcPr>
          <w:p w:rsidR="00380092" w:rsidRPr="00380092" w:rsidRDefault="00380092" w:rsidP="00380092">
            <w:pPr>
              <w:jc w:val="center"/>
              <w:rPr>
                <w:b/>
              </w:rPr>
            </w:pPr>
            <w:r w:rsidRPr="00380092">
              <w:rPr>
                <w:b/>
              </w:rPr>
              <w:t>Difference between gross hourly earnings</w:t>
            </w:r>
            <w:r w:rsidRPr="00380092">
              <w:rPr>
                <w:b/>
              </w:rPr>
              <w:br/>
            </w:r>
          </w:p>
        </w:tc>
      </w:tr>
      <w:tr w:rsidR="00380092" w:rsidTr="00380092">
        <w:tc>
          <w:tcPr>
            <w:tcW w:w="4508" w:type="dxa"/>
          </w:tcPr>
          <w:p w:rsidR="00380092" w:rsidRPr="00380092" w:rsidRDefault="00380092" w:rsidP="00380092">
            <w:pPr>
              <w:jc w:val="center"/>
              <w:rPr>
                <w:b/>
              </w:rPr>
            </w:pPr>
            <w:r w:rsidRPr="00380092">
              <w:rPr>
                <w:b/>
              </w:rPr>
              <w:t>Mean</w:t>
            </w:r>
            <w:r w:rsidRPr="00380092">
              <w:rPr>
                <w:b/>
              </w:rPr>
              <w:br/>
            </w:r>
          </w:p>
        </w:tc>
        <w:tc>
          <w:tcPr>
            <w:tcW w:w="4508" w:type="dxa"/>
          </w:tcPr>
          <w:p w:rsidR="00380092" w:rsidRPr="00380092" w:rsidRDefault="00380092" w:rsidP="00380092">
            <w:pPr>
              <w:jc w:val="center"/>
              <w:rPr>
                <w:b/>
              </w:rPr>
            </w:pPr>
            <w:r w:rsidRPr="00380092">
              <w:rPr>
                <w:b/>
              </w:rPr>
              <w:t>Median</w:t>
            </w:r>
          </w:p>
        </w:tc>
      </w:tr>
      <w:tr w:rsidR="00380092" w:rsidTr="00380092">
        <w:tc>
          <w:tcPr>
            <w:tcW w:w="4508" w:type="dxa"/>
          </w:tcPr>
          <w:p w:rsidR="00380092" w:rsidRDefault="00126826" w:rsidP="00380092">
            <w:pPr>
              <w:jc w:val="center"/>
            </w:pPr>
            <w:r>
              <w:t>9.21</w:t>
            </w:r>
            <w:r w:rsidR="00D16650">
              <w:t>%</w:t>
            </w:r>
          </w:p>
        </w:tc>
        <w:tc>
          <w:tcPr>
            <w:tcW w:w="4508" w:type="dxa"/>
          </w:tcPr>
          <w:p w:rsidR="00380092" w:rsidRDefault="00126826" w:rsidP="00380092">
            <w:pPr>
              <w:jc w:val="center"/>
            </w:pPr>
            <w:r>
              <w:t>8.09</w:t>
            </w:r>
            <w:r w:rsidR="00D16650">
              <w:t>%</w:t>
            </w:r>
          </w:p>
        </w:tc>
      </w:tr>
    </w:tbl>
    <w:p w:rsidR="00B918E3" w:rsidRDefault="00BC6A0D" w:rsidP="00B918E3">
      <w:r>
        <w:br/>
      </w:r>
      <w:r w:rsidR="00B918E3">
        <w:t>Our evaluation, indicates that the difference in average pay is a due primarily to having proportionately more men than women in senior, higher paid roles.</w:t>
      </w:r>
    </w:p>
    <w:p w:rsidR="00AF497C" w:rsidRDefault="00BC6A0D" w:rsidP="00AF497C">
      <w:pPr>
        <w:autoSpaceDE w:val="0"/>
        <w:autoSpaceDN w:val="0"/>
        <w:adjustRightInd w:val="0"/>
        <w:spacing w:after="0" w:line="240" w:lineRule="auto"/>
        <w:rPr>
          <w:rFonts w:cstheme="minorHAnsi"/>
          <w:b/>
          <w:bCs/>
          <w:color w:val="520D5C"/>
          <w:sz w:val="28"/>
          <w:szCs w:val="28"/>
        </w:rPr>
      </w:pPr>
      <w:r>
        <w:br/>
      </w:r>
      <w:r w:rsidR="00AF497C" w:rsidRPr="00AF497C">
        <w:rPr>
          <w:rFonts w:cstheme="minorHAnsi"/>
          <w:b/>
          <w:bCs/>
          <w:color w:val="520D5C"/>
          <w:sz w:val="28"/>
          <w:szCs w:val="28"/>
        </w:rPr>
        <w:t>Pay Quartiles</w:t>
      </w:r>
    </w:p>
    <w:p w:rsidR="00B918E3" w:rsidRDefault="00B918E3" w:rsidP="00B918E3">
      <w:r>
        <w:t xml:space="preserve">The proportion of male and females in each base pay quartile is shown below.  </w:t>
      </w:r>
    </w:p>
    <w:tbl>
      <w:tblPr>
        <w:tblStyle w:val="TableGrid"/>
        <w:tblW w:w="0" w:type="auto"/>
        <w:tblLook w:val="04A0" w:firstRow="1" w:lastRow="0" w:firstColumn="1" w:lastColumn="0" w:noHBand="0" w:noVBand="1"/>
      </w:tblPr>
      <w:tblGrid>
        <w:gridCol w:w="3005"/>
        <w:gridCol w:w="3005"/>
        <w:gridCol w:w="3006"/>
      </w:tblGrid>
      <w:tr w:rsidR="00AF497C" w:rsidRPr="00BC6A0D" w:rsidTr="00AF497C">
        <w:tc>
          <w:tcPr>
            <w:tcW w:w="3005" w:type="dxa"/>
          </w:tcPr>
          <w:p w:rsidR="00AF497C" w:rsidRPr="00BC6A0D" w:rsidRDefault="00C4118E" w:rsidP="00BC6A0D">
            <w:pPr>
              <w:jc w:val="center"/>
              <w:rPr>
                <w:b/>
              </w:rPr>
            </w:pPr>
            <w:r w:rsidRPr="00BC6A0D">
              <w:rPr>
                <w:b/>
              </w:rPr>
              <w:t>Quartile</w:t>
            </w:r>
          </w:p>
        </w:tc>
        <w:tc>
          <w:tcPr>
            <w:tcW w:w="3005" w:type="dxa"/>
          </w:tcPr>
          <w:p w:rsidR="00AF497C" w:rsidRPr="00BC6A0D" w:rsidRDefault="00AF497C" w:rsidP="00BC6A0D">
            <w:pPr>
              <w:jc w:val="center"/>
              <w:rPr>
                <w:b/>
              </w:rPr>
            </w:pPr>
            <w:r w:rsidRPr="00BC6A0D">
              <w:rPr>
                <w:b/>
              </w:rPr>
              <w:t>Male</w:t>
            </w:r>
          </w:p>
        </w:tc>
        <w:tc>
          <w:tcPr>
            <w:tcW w:w="3006" w:type="dxa"/>
          </w:tcPr>
          <w:p w:rsidR="00AF497C" w:rsidRPr="00BC6A0D" w:rsidRDefault="00AF497C" w:rsidP="00BC6A0D">
            <w:pPr>
              <w:jc w:val="center"/>
              <w:rPr>
                <w:b/>
              </w:rPr>
            </w:pPr>
            <w:r w:rsidRPr="00BC6A0D">
              <w:rPr>
                <w:b/>
              </w:rPr>
              <w:t>Female</w:t>
            </w:r>
          </w:p>
        </w:tc>
      </w:tr>
      <w:tr w:rsidR="00AF497C" w:rsidTr="00AF497C">
        <w:tc>
          <w:tcPr>
            <w:tcW w:w="3005" w:type="dxa"/>
          </w:tcPr>
          <w:p w:rsidR="00AF497C" w:rsidRDefault="00AF497C">
            <w:r>
              <w:t>Upper</w:t>
            </w:r>
          </w:p>
        </w:tc>
        <w:tc>
          <w:tcPr>
            <w:tcW w:w="3005" w:type="dxa"/>
          </w:tcPr>
          <w:p w:rsidR="00AF497C" w:rsidRDefault="00126826" w:rsidP="00AF497C">
            <w:pPr>
              <w:jc w:val="center"/>
            </w:pPr>
            <w:r>
              <w:t>82.27</w:t>
            </w:r>
            <w:r w:rsidR="00D16650">
              <w:t>%</w:t>
            </w:r>
          </w:p>
        </w:tc>
        <w:tc>
          <w:tcPr>
            <w:tcW w:w="3006" w:type="dxa"/>
          </w:tcPr>
          <w:p w:rsidR="00AF497C" w:rsidRDefault="00126826" w:rsidP="00AF497C">
            <w:pPr>
              <w:jc w:val="center"/>
            </w:pPr>
            <w:r>
              <w:t>17.73</w:t>
            </w:r>
            <w:r w:rsidR="00D16650">
              <w:t>%</w:t>
            </w:r>
          </w:p>
        </w:tc>
      </w:tr>
      <w:tr w:rsidR="00AF497C" w:rsidTr="00AF497C">
        <w:tc>
          <w:tcPr>
            <w:tcW w:w="3005" w:type="dxa"/>
          </w:tcPr>
          <w:p w:rsidR="00AF497C" w:rsidRDefault="00AF497C">
            <w:r>
              <w:t>Upper Middle</w:t>
            </w:r>
          </w:p>
        </w:tc>
        <w:tc>
          <w:tcPr>
            <w:tcW w:w="3005" w:type="dxa"/>
          </w:tcPr>
          <w:p w:rsidR="00AF497C" w:rsidRDefault="00126826" w:rsidP="00AF497C">
            <w:pPr>
              <w:jc w:val="center"/>
            </w:pPr>
            <w:r>
              <w:t>84.93</w:t>
            </w:r>
            <w:r w:rsidR="00D16650">
              <w:t>%</w:t>
            </w:r>
          </w:p>
        </w:tc>
        <w:tc>
          <w:tcPr>
            <w:tcW w:w="3006" w:type="dxa"/>
          </w:tcPr>
          <w:p w:rsidR="00AF497C" w:rsidRDefault="00126826" w:rsidP="00D46262">
            <w:pPr>
              <w:jc w:val="center"/>
            </w:pPr>
            <w:r>
              <w:t>15.07%</w:t>
            </w:r>
          </w:p>
        </w:tc>
      </w:tr>
      <w:tr w:rsidR="00AF497C" w:rsidTr="00AF497C">
        <w:tc>
          <w:tcPr>
            <w:tcW w:w="3005" w:type="dxa"/>
          </w:tcPr>
          <w:p w:rsidR="00AF497C" w:rsidRDefault="00AF497C">
            <w:r>
              <w:t>Lower Middle</w:t>
            </w:r>
          </w:p>
        </w:tc>
        <w:tc>
          <w:tcPr>
            <w:tcW w:w="3005" w:type="dxa"/>
          </w:tcPr>
          <w:p w:rsidR="00AF497C" w:rsidRDefault="00126826" w:rsidP="00D46262">
            <w:pPr>
              <w:jc w:val="center"/>
            </w:pPr>
            <w:r>
              <w:t>84.51</w:t>
            </w:r>
            <w:r w:rsidR="00D16650">
              <w:t>%</w:t>
            </w:r>
          </w:p>
        </w:tc>
        <w:tc>
          <w:tcPr>
            <w:tcW w:w="3006" w:type="dxa"/>
          </w:tcPr>
          <w:p w:rsidR="00AF497C" w:rsidRDefault="00126826" w:rsidP="00AF497C">
            <w:pPr>
              <w:jc w:val="center"/>
            </w:pPr>
            <w:r>
              <w:t>15.49</w:t>
            </w:r>
            <w:r w:rsidR="00D16650">
              <w:t>%</w:t>
            </w:r>
          </w:p>
        </w:tc>
      </w:tr>
      <w:tr w:rsidR="00AF497C" w:rsidTr="00AF497C">
        <w:tc>
          <w:tcPr>
            <w:tcW w:w="3005" w:type="dxa"/>
          </w:tcPr>
          <w:p w:rsidR="00AF497C" w:rsidRDefault="00AF497C">
            <w:r>
              <w:t>Lower Quartile</w:t>
            </w:r>
          </w:p>
        </w:tc>
        <w:tc>
          <w:tcPr>
            <w:tcW w:w="3005" w:type="dxa"/>
          </w:tcPr>
          <w:p w:rsidR="00AF497C" w:rsidRDefault="00126826" w:rsidP="006F70BA">
            <w:pPr>
              <w:jc w:val="center"/>
            </w:pPr>
            <w:r>
              <w:t>64.08</w:t>
            </w:r>
            <w:r w:rsidR="00D16650">
              <w:t>%</w:t>
            </w:r>
          </w:p>
        </w:tc>
        <w:tc>
          <w:tcPr>
            <w:tcW w:w="3006" w:type="dxa"/>
          </w:tcPr>
          <w:p w:rsidR="00AF497C" w:rsidRDefault="00126826" w:rsidP="00D46262">
            <w:pPr>
              <w:jc w:val="center"/>
            </w:pPr>
            <w:r>
              <w:t>35.92</w:t>
            </w:r>
            <w:r w:rsidR="00D16650">
              <w:t>%</w:t>
            </w:r>
          </w:p>
        </w:tc>
      </w:tr>
    </w:tbl>
    <w:p w:rsidR="006F70BA" w:rsidRDefault="00992C1C" w:rsidP="006F70BA">
      <w:pPr>
        <w:pStyle w:val="Default"/>
        <w:rPr>
          <w:rFonts w:asciiTheme="minorHAnsi" w:hAnsiTheme="minorHAnsi" w:cstheme="minorBidi"/>
          <w:color w:val="auto"/>
          <w:sz w:val="22"/>
          <w:szCs w:val="22"/>
        </w:rPr>
      </w:pPr>
      <w:r>
        <w:br/>
      </w:r>
      <w:r w:rsidR="006F70BA" w:rsidRPr="006F70BA">
        <w:rPr>
          <w:rFonts w:asciiTheme="minorHAnsi" w:hAnsiTheme="minorHAnsi" w:cstheme="minorBidi"/>
          <w:color w:val="auto"/>
          <w:sz w:val="22"/>
          <w:szCs w:val="22"/>
        </w:rPr>
        <w:t>Women make up 21</w:t>
      </w:r>
      <w:r w:rsidR="00B918E3" w:rsidRPr="006F70BA">
        <w:rPr>
          <w:rFonts w:asciiTheme="minorHAnsi" w:hAnsiTheme="minorHAnsi" w:cstheme="minorBidi"/>
          <w:color w:val="auto"/>
          <w:sz w:val="22"/>
          <w:szCs w:val="22"/>
        </w:rPr>
        <w:t xml:space="preserve">% of our employees but are under-represented in the upper and middle quartiles.   </w:t>
      </w:r>
      <w:r w:rsidR="006F70BA" w:rsidRPr="006F70BA">
        <w:rPr>
          <w:rFonts w:asciiTheme="minorHAnsi" w:hAnsiTheme="minorHAnsi" w:cstheme="minorBidi"/>
          <w:color w:val="auto"/>
          <w:sz w:val="22"/>
          <w:szCs w:val="22"/>
        </w:rPr>
        <w:t xml:space="preserve">The upper quartile and upper middle groups are primarily occupied with management and senior engineering positions. </w:t>
      </w:r>
    </w:p>
    <w:p w:rsidR="003273CE" w:rsidRPr="006F70BA" w:rsidRDefault="003273CE" w:rsidP="006F70BA">
      <w:pPr>
        <w:pStyle w:val="Default"/>
        <w:rPr>
          <w:rFonts w:asciiTheme="minorHAnsi" w:hAnsiTheme="minorHAnsi" w:cstheme="minorBidi"/>
          <w:color w:val="auto"/>
          <w:sz w:val="22"/>
          <w:szCs w:val="22"/>
        </w:rPr>
      </w:pPr>
    </w:p>
    <w:p w:rsidR="00992C1C" w:rsidRDefault="00B918E3">
      <w:r>
        <w:t>This spread is consistent with many other businesses in our sector, particularly those businesses associated with Science, Technology, Engineering and Mathematics (STEM) where there are proportionately fewer women entering the sector at graduate level</w:t>
      </w:r>
      <w:r w:rsidR="00E14806">
        <w:t>. Within</w:t>
      </w:r>
      <w:r>
        <w:t xml:space="preserve"> the lower quartile there is a greater gender balance</w:t>
      </w:r>
      <w:r w:rsidR="00E14806">
        <w:t>. The roles within this quartile</w:t>
      </w:r>
      <w:r>
        <w:t xml:space="preserve"> are typically associated with administration and clerical posts.</w:t>
      </w:r>
    </w:p>
    <w:p w:rsidR="003273CE" w:rsidRDefault="003273CE">
      <w:pPr>
        <w:rPr>
          <w:rFonts w:cstheme="minorHAnsi"/>
          <w:b/>
          <w:bCs/>
          <w:color w:val="520D5C"/>
          <w:sz w:val="28"/>
          <w:szCs w:val="28"/>
        </w:rPr>
      </w:pPr>
      <w:r>
        <w:rPr>
          <w:rFonts w:cstheme="minorHAnsi"/>
          <w:b/>
          <w:bCs/>
          <w:color w:val="520D5C"/>
          <w:sz w:val="28"/>
          <w:szCs w:val="28"/>
        </w:rPr>
        <w:br w:type="page"/>
      </w:r>
    </w:p>
    <w:p w:rsidR="00380092" w:rsidRPr="00AF497C" w:rsidRDefault="00867F34" w:rsidP="00867F34">
      <w:pPr>
        <w:autoSpaceDE w:val="0"/>
        <w:autoSpaceDN w:val="0"/>
        <w:adjustRightInd w:val="0"/>
        <w:spacing w:after="0" w:line="240" w:lineRule="auto"/>
        <w:rPr>
          <w:rFonts w:cstheme="minorHAnsi"/>
          <w:b/>
          <w:bCs/>
          <w:color w:val="520D5C"/>
          <w:sz w:val="28"/>
          <w:szCs w:val="28"/>
        </w:rPr>
      </w:pPr>
      <w:r w:rsidRPr="00AF497C">
        <w:rPr>
          <w:rFonts w:cstheme="minorHAnsi"/>
          <w:b/>
          <w:bCs/>
          <w:color w:val="520D5C"/>
          <w:sz w:val="28"/>
          <w:szCs w:val="28"/>
        </w:rPr>
        <w:t>Bonus</w:t>
      </w:r>
    </w:p>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tbl>
      <w:tblPr>
        <w:tblStyle w:val="TableGrid"/>
        <w:tblW w:w="0" w:type="auto"/>
        <w:tblLook w:val="04A0" w:firstRow="1" w:lastRow="0" w:firstColumn="1" w:lastColumn="0" w:noHBand="0" w:noVBand="1"/>
      </w:tblPr>
      <w:tblGrid>
        <w:gridCol w:w="4508"/>
        <w:gridCol w:w="4508"/>
      </w:tblGrid>
      <w:tr w:rsidR="00867F34" w:rsidRPr="00380092" w:rsidTr="00EF1516">
        <w:tc>
          <w:tcPr>
            <w:tcW w:w="9016" w:type="dxa"/>
            <w:gridSpan w:val="2"/>
          </w:tcPr>
          <w:p w:rsidR="00867F34" w:rsidRDefault="00867F34" w:rsidP="00EF1516">
            <w:pPr>
              <w:jc w:val="center"/>
              <w:rPr>
                <w:b/>
              </w:rPr>
            </w:pPr>
            <w:r>
              <w:rPr>
                <w:b/>
              </w:rPr>
              <w:t>Proportion of Staff receiving a bonus</w:t>
            </w:r>
          </w:p>
          <w:p w:rsidR="00867F34" w:rsidRPr="00380092" w:rsidRDefault="00867F34" w:rsidP="00EF1516">
            <w:pPr>
              <w:jc w:val="center"/>
              <w:rPr>
                <w:b/>
              </w:rPr>
            </w:pPr>
          </w:p>
        </w:tc>
      </w:tr>
      <w:tr w:rsidR="00867F34" w:rsidRPr="00380092" w:rsidTr="00EF1516">
        <w:tc>
          <w:tcPr>
            <w:tcW w:w="4508" w:type="dxa"/>
          </w:tcPr>
          <w:p w:rsidR="00867F34" w:rsidRPr="00380092" w:rsidRDefault="00867F34" w:rsidP="00EF1516">
            <w:pPr>
              <w:jc w:val="center"/>
              <w:rPr>
                <w:b/>
              </w:rPr>
            </w:pPr>
            <w:r>
              <w:rPr>
                <w:b/>
              </w:rPr>
              <w:t>Male</w:t>
            </w:r>
            <w:r w:rsidRPr="00380092">
              <w:rPr>
                <w:b/>
              </w:rPr>
              <w:br/>
            </w:r>
          </w:p>
        </w:tc>
        <w:tc>
          <w:tcPr>
            <w:tcW w:w="4508" w:type="dxa"/>
          </w:tcPr>
          <w:p w:rsidR="00867F34" w:rsidRPr="00380092" w:rsidRDefault="00867F34" w:rsidP="00EF1516">
            <w:pPr>
              <w:jc w:val="center"/>
              <w:rPr>
                <w:b/>
              </w:rPr>
            </w:pPr>
            <w:r>
              <w:rPr>
                <w:b/>
              </w:rPr>
              <w:t>Female</w:t>
            </w:r>
          </w:p>
        </w:tc>
      </w:tr>
      <w:tr w:rsidR="00867F34" w:rsidTr="00EF1516">
        <w:tc>
          <w:tcPr>
            <w:tcW w:w="4508" w:type="dxa"/>
          </w:tcPr>
          <w:p w:rsidR="00867F34" w:rsidRDefault="00126826" w:rsidP="00D46262">
            <w:pPr>
              <w:jc w:val="center"/>
            </w:pPr>
            <w:r>
              <w:t>75.6</w:t>
            </w:r>
            <w:r w:rsidR="00D16650">
              <w:t>%</w:t>
            </w:r>
          </w:p>
        </w:tc>
        <w:tc>
          <w:tcPr>
            <w:tcW w:w="4508" w:type="dxa"/>
          </w:tcPr>
          <w:p w:rsidR="00867F34" w:rsidRDefault="00126826" w:rsidP="00D46262">
            <w:pPr>
              <w:jc w:val="center"/>
            </w:pPr>
            <w:r>
              <w:t>76.61</w:t>
            </w:r>
            <w:r w:rsidR="00D16650">
              <w:t>%</w:t>
            </w:r>
          </w:p>
        </w:tc>
      </w:tr>
    </w:tbl>
    <w:p w:rsidR="00867F34" w:rsidRDefault="00867F34" w:rsidP="006F3A57">
      <w:pPr>
        <w:autoSpaceDE w:val="0"/>
        <w:autoSpaceDN w:val="0"/>
        <w:adjustRightInd w:val="0"/>
        <w:spacing w:after="0" w:line="240" w:lineRule="auto"/>
        <w:rPr>
          <w:rFonts w:ascii="Gotham-Bold" w:hAnsi="Gotham-Bold" w:cs="Gotham-Bold"/>
          <w:b/>
          <w:bCs/>
          <w:color w:val="520D5C"/>
          <w:sz w:val="20"/>
          <w:szCs w:val="20"/>
        </w:rPr>
      </w:pPr>
    </w:p>
    <w:tbl>
      <w:tblPr>
        <w:tblStyle w:val="TableGrid"/>
        <w:tblW w:w="0" w:type="auto"/>
        <w:tblLook w:val="04A0" w:firstRow="1" w:lastRow="0" w:firstColumn="1" w:lastColumn="0" w:noHBand="0" w:noVBand="1"/>
      </w:tblPr>
      <w:tblGrid>
        <w:gridCol w:w="4508"/>
        <w:gridCol w:w="4508"/>
      </w:tblGrid>
      <w:tr w:rsidR="00867F34" w:rsidRPr="00380092" w:rsidTr="00EF1516">
        <w:tc>
          <w:tcPr>
            <w:tcW w:w="9016" w:type="dxa"/>
            <w:gridSpan w:val="2"/>
          </w:tcPr>
          <w:p w:rsidR="00867F34" w:rsidRDefault="00867F34" w:rsidP="00EF1516">
            <w:pPr>
              <w:jc w:val="center"/>
              <w:rPr>
                <w:b/>
              </w:rPr>
            </w:pPr>
            <w:r>
              <w:rPr>
                <w:b/>
              </w:rPr>
              <w:t>Difference between Bonus Pay</w:t>
            </w:r>
          </w:p>
          <w:p w:rsidR="00867F34" w:rsidRPr="00380092" w:rsidRDefault="00867F34" w:rsidP="00EF1516">
            <w:pPr>
              <w:jc w:val="center"/>
              <w:rPr>
                <w:b/>
              </w:rPr>
            </w:pPr>
          </w:p>
        </w:tc>
      </w:tr>
      <w:tr w:rsidR="00867F34" w:rsidRPr="00380092" w:rsidTr="00EF1516">
        <w:tc>
          <w:tcPr>
            <w:tcW w:w="4508" w:type="dxa"/>
          </w:tcPr>
          <w:p w:rsidR="00867F34" w:rsidRPr="00380092" w:rsidRDefault="00867F34" w:rsidP="00EF1516">
            <w:pPr>
              <w:jc w:val="center"/>
              <w:rPr>
                <w:b/>
              </w:rPr>
            </w:pPr>
            <w:r w:rsidRPr="00380092">
              <w:rPr>
                <w:b/>
              </w:rPr>
              <w:t>Mean</w:t>
            </w:r>
            <w:r w:rsidRPr="00380092">
              <w:rPr>
                <w:b/>
              </w:rPr>
              <w:br/>
            </w:r>
          </w:p>
        </w:tc>
        <w:tc>
          <w:tcPr>
            <w:tcW w:w="4508" w:type="dxa"/>
          </w:tcPr>
          <w:p w:rsidR="00867F34" w:rsidRPr="00380092" w:rsidRDefault="00867F34" w:rsidP="00EF1516">
            <w:pPr>
              <w:jc w:val="center"/>
              <w:rPr>
                <w:b/>
              </w:rPr>
            </w:pPr>
            <w:r w:rsidRPr="00380092">
              <w:rPr>
                <w:b/>
              </w:rPr>
              <w:t>Median</w:t>
            </w:r>
          </w:p>
        </w:tc>
      </w:tr>
      <w:tr w:rsidR="00867F34" w:rsidTr="00EF1516">
        <w:tc>
          <w:tcPr>
            <w:tcW w:w="4508" w:type="dxa"/>
          </w:tcPr>
          <w:p w:rsidR="00867F34" w:rsidRDefault="00126826" w:rsidP="00EF1516">
            <w:pPr>
              <w:jc w:val="center"/>
            </w:pPr>
            <w:r>
              <w:t>17.5</w:t>
            </w:r>
            <w:r w:rsidR="00D16650">
              <w:t>%</w:t>
            </w:r>
          </w:p>
        </w:tc>
        <w:tc>
          <w:tcPr>
            <w:tcW w:w="4508" w:type="dxa"/>
          </w:tcPr>
          <w:p w:rsidR="00867F34" w:rsidRDefault="00126826" w:rsidP="00D46262">
            <w:pPr>
              <w:jc w:val="center"/>
            </w:pPr>
            <w:r>
              <w:t>22.79</w:t>
            </w:r>
            <w:r w:rsidR="00D16650">
              <w:t>%</w:t>
            </w:r>
            <w:r w:rsidR="00867F34">
              <w:br/>
            </w:r>
          </w:p>
        </w:tc>
      </w:tr>
    </w:tbl>
    <w:p w:rsidR="00867F34" w:rsidRDefault="00867F34" w:rsidP="006F3A57">
      <w:pPr>
        <w:autoSpaceDE w:val="0"/>
        <w:autoSpaceDN w:val="0"/>
        <w:adjustRightInd w:val="0"/>
        <w:spacing w:after="0" w:line="240" w:lineRule="auto"/>
        <w:rPr>
          <w:rFonts w:ascii="Gotham-Bold" w:hAnsi="Gotham-Bold" w:cs="Gotham-Bold"/>
          <w:b/>
          <w:bCs/>
          <w:color w:val="520D5C"/>
          <w:sz w:val="20"/>
          <w:szCs w:val="20"/>
        </w:rPr>
      </w:pPr>
    </w:p>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p w:rsidR="0046675A" w:rsidRPr="0046675A" w:rsidRDefault="005E2139" w:rsidP="0046675A">
      <w:pPr>
        <w:autoSpaceDE w:val="0"/>
        <w:autoSpaceDN w:val="0"/>
        <w:adjustRightInd w:val="0"/>
        <w:spacing w:after="0" w:line="240" w:lineRule="auto"/>
        <w:rPr>
          <w:rFonts w:cstheme="minorHAnsi"/>
          <w:bCs/>
          <w:color w:val="000000" w:themeColor="text1"/>
        </w:rPr>
      </w:pPr>
      <w:r>
        <w:rPr>
          <w:rFonts w:cstheme="minorHAnsi"/>
          <w:bCs/>
          <w:color w:val="000000" w:themeColor="text1"/>
        </w:rPr>
        <w:t>A</w:t>
      </w:r>
      <w:r w:rsidR="00992C1C">
        <w:rPr>
          <w:rFonts w:cstheme="minorHAnsi"/>
          <w:bCs/>
          <w:color w:val="000000" w:themeColor="text1"/>
        </w:rPr>
        <w:t>s with pay</w:t>
      </w:r>
      <w:r w:rsidR="00C4118E">
        <w:rPr>
          <w:rFonts w:cstheme="minorHAnsi"/>
          <w:bCs/>
          <w:color w:val="000000" w:themeColor="text1"/>
        </w:rPr>
        <w:t>,</w:t>
      </w:r>
      <w:r w:rsidR="00992C1C">
        <w:rPr>
          <w:rFonts w:cstheme="minorHAnsi"/>
          <w:bCs/>
          <w:color w:val="000000" w:themeColor="text1"/>
        </w:rPr>
        <w:t xml:space="preserve"> the</w:t>
      </w:r>
      <w:r w:rsidR="0046675A">
        <w:rPr>
          <w:rFonts w:cstheme="minorHAnsi"/>
          <w:bCs/>
          <w:color w:val="000000" w:themeColor="text1"/>
        </w:rPr>
        <w:t xml:space="preserve"> bonus mean is heavily influenced and reflective </w:t>
      </w:r>
      <w:r>
        <w:rPr>
          <w:rFonts w:cstheme="minorHAnsi"/>
          <w:bCs/>
          <w:color w:val="000000" w:themeColor="text1"/>
        </w:rPr>
        <w:t xml:space="preserve">of </w:t>
      </w:r>
      <w:r w:rsidR="0046675A">
        <w:rPr>
          <w:rFonts w:cstheme="minorHAnsi"/>
          <w:bCs/>
          <w:color w:val="000000" w:themeColor="text1"/>
        </w:rPr>
        <w:t xml:space="preserve">the fact that </w:t>
      </w:r>
      <w:r w:rsidR="00C4118E">
        <w:rPr>
          <w:rFonts w:cstheme="minorHAnsi"/>
          <w:bCs/>
          <w:color w:val="000000" w:themeColor="text1"/>
        </w:rPr>
        <w:t xml:space="preserve">the </w:t>
      </w:r>
      <w:r w:rsidR="0046675A">
        <w:rPr>
          <w:rFonts w:cstheme="minorHAnsi"/>
          <w:bCs/>
          <w:color w:val="000000" w:themeColor="text1"/>
        </w:rPr>
        <w:t>majority of s</w:t>
      </w:r>
      <w:r w:rsidR="00992C1C">
        <w:rPr>
          <w:rFonts w:cstheme="minorHAnsi"/>
          <w:bCs/>
          <w:color w:val="000000" w:themeColor="text1"/>
        </w:rPr>
        <w:t xml:space="preserve">enior </w:t>
      </w:r>
      <w:r w:rsidR="00B918E3">
        <w:rPr>
          <w:rFonts w:cstheme="minorHAnsi"/>
          <w:bCs/>
          <w:color w:val="000000" w:themeColor="text1"/>
        </w:rPr>
        <w:t xml:space="preserve">graded </w:t>
      </w:r>
      <w:r w:rsidR="00992C1C">
        <w:rPr>
          <w:rFonts w:cstheme="minorHAnsi"/>
          <w:bCs/>
          <w:color w:val="000000" w:themeColor="text1"/>
        </w:rPr>
        <w:t>staff are male.</w:t>
      </w:r>
    </w:p>
    <w:p w:rsidR="00AF497C" w:rsidRDefault="00AF497C">
      <w:pPr>
        <w:rPr>
          <w:rFonts w:ascii="Gotham-Bold" w:hAnsi="Gotham-Bold" w:cs="Gotham-Bold"/>
          <w:b/>
          <w:bCs/>
          <w:color w:val="520D5C"/>
          <w:sz w:val="20"/>
          <w:szCs w:val="20"/>
        </w:rPr>
      </w:pPr>
    </w:p>
    <w:p w:rsidR="00947C25" w:rsidRPr="008F5727" w:rsidRDefault="00C4234A">
      <w:pPr>
        <w:rPr>
          <w:rFonts w:cstheme="minorHAnsi"/>
          <w:b/>
          <w:bCs/>
          <w:color w:val="520D5C"/>
          <w:sz w:val="28"/>
          <w:szCs w:val="28"/>
        </w:rPr>
      </w:pPr>
      <w:r w:rsidRPr="008F5727">
        <w:rPr>
          <w:rFonts w:cstheme="minorHAnsi"/>
          <w:b/>
          <w:bCs/>
          <w:color w:val="520D5C"/>
          <w:sz w:val="28"/>
          <w:szCs w:val="28"/>
        </w:rPr>
        <w:t>Going Forward ……</w:t>
      </w:r>
    </w:p>
    <w:p w:rsidR="008F5727" w:rsidRPr="005A6458" w:rsidRDefault="008F5727" w:rsidP="008F5727">
      <w:pPr>
        <w:rPr>
          <w:rFonts w:cstheme="minorHAnsi"/>
          <w:bCs/>
          <w:color w:val="000000" w:themeColor="text1"/>
        </w:rPr>
      </w:pPr>
      <w:r w:rsidRPr="005E0A1A">
        <w:rPr>
          <w:rFonts w:cstheme="minorHAnsi"/>
          <w:bCs/>
          <w:color w:val="000000" w:themeColor="text1"/>
        </w:rPr>
        <w:t xml:space="preserve">As a major manufacturer and employer in the region we recognise </w:t>
      </w:r>
      <w:r>
        <w:rPr>
          <w:rFonts w:cstheme="minorHAnsi"/>
          <w:bCs/>
          <w:color w:val="000000" w:themeColor="text1"/>
        </w:rPr>
        <w:t xml:space="preserve">the important </w:t>
      </w:r>
      <w:r w:rsidRPr="005E0A1A">
        <w:rPr>
          <w:rFonts w:cstheme="minorHAnsi"/>
          <w:bCs/>
          <w:color w:val="000000" w:themeColor="text1"/>
        </w:rPr>
        <w:t>role</w:t>
      </w:r>
      <w:r>
        <w:rPr>
          <w:rFonts w:cstheme="minorHAnsi"/>
          <w:bCs/>
          <w:color w:val="000000" w:themeColor="text1"/>
        </w:rPr>
        <w:t xml:space="preserve"> we can play</w:t>
      </w:r>
      <w:r w:rsidRPr="005E0A1A">
        <w:rPr>
          <w:rFonts w:cstheme="minorHAnsi"/>
          <w:bCs/>
          <w:color w:val="000000" w:themeColor="text1"/>
        </w:rPr>
        <w:t xml:space="preserve"> in addressing a rebalance of gender representation in our Sector. </w:t>
      </w:r>
      <w:r w:rsidRPr="005A6458">
        <w:rPr>
          <w:rFonts w:cstheme="minorHAnsi"/>
          <w:bCs/>
          <w:color w:val="000000" w:themeColor="text1"/>
        </w:rPr>
        <w:t xml:space="preserve">We have a long tradition of partnership working, with common goals of actively encouraging females into our industry and into STEM-related businesses. </w:t>
      </w:r>
      <w:r>
        <w:rPr>
          <w:rFonts w:cstheme="minorHAnsi"/>
          <w:bCs/>
          <w:color w:val="000000" w:themeColor="text1"/>
        </w:rPr>
        <w:t>Our</w:t>
      </w:r>
      <w:r w:rsidRPr="005A6458">
        <w:rPr>
          <w:rFonts w:cstheme="minorHAnsi"/>
          <w:bCs/>
          <w:color w:val="000000" w:themeColor="text1"/>
        </w:rPr>
        <w:t xml:space="preserve"> well-established employee network of positive role models support and champion the work undertaken by females</w:t>
      </w:r>
      <w:r>
        <w:rPr>
          <w:rFonts w:cstheme="minorHAnsi"/>
          <w:bCs/>
          <w:color w:val="000000" w:themeColor="text1"/>
        </w:rPr>
        <w:t>, interacting with pupils and students at events specifically designed to highlight the opportunities available to women.</w:t>
      </w:r>
    </w:p>
    <w:p w:rsidR="00F23C16" w:rsidRDefault="008F5727">
      <w:pPr>
        <w:rPr>
          <w:rFonts w:cstheme="minorHAnsi"/>
          <w:bCs/>
          <w:color w:val="000000" w:themeColor="text1"/>
        </w:rPr>
      </w:pPr>
      <w:r w:rsidRPr="005E0A1A">
        <w:rPr>
          <w:rFonts w:cstheme="minorHAnsi"/>
          <w:bCs/>
          <w:color w:val="000000" w:themeColor="text1"/>
        </w:rPr>
        <w:t>We firmly believe that our existing policies regarding recruitment, reward, maternity and flexible working already contribute to our ability to attract and retain women within our organisation.</w:t>
      </w:r>
    </w:p>
    <w:p w:rsidR="005E2139" w:rsidRDefault="00F23C16">
      <w:pPr>
        <w:rPr>
          <w:rFonts w:cstheme="minorHAnsi"/>
          <w:bCs/>
          <w:color w:val="000000" w:themeColor="text1"/>
        </w:rPr>
      </w:pPr>
      <w:r w:rsidRPr="008B64CF">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250825</wp:posOffset>
            </wp:positionV>
            <wp:extent cx="1619250" cy="117305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a:stretch>
                      <a:fillRect/>
                    </a:stretch>
                  </pic:blipFill>
                  <pic:spPr bwMode="auto">
                    <a:xfrm>
                      <a:off x="0" y="0"/>
                      <a:ext cx="1619250" cy="1173050"/>
                    </a:xfrm>
                    <a:prstGeom prst="rect">
                      <a:avLst/>
                    </a:prstGeom>
                    <a:noFill/>
                    <a:ln>
                      <a:noFill/>
                    </a:ln>
                  </pic:spPr>
                </pic:pic>
              </a:graphicData>
            </a:graphic>
          </wp:anchor>
        </w:drawing>
      </w:r>
    </w:p>
    <w:p w:rsidR="003273CE" w:rsidRDefault="00F23C16" w:rsidP="005E2139">
      <w:pPr>
        <w:ind w:left="2160" w:firstLine="720"/>
        <w:rPr>
          <w:rFonts w:cstheme="minorHAnsi"/>
          <w:bCs/>
          <w:color w:val="000000" w:themeColor="text1"/>
        </w:rPr>
      </w:pPr>
      <w:r w:rsidRPr="00C223DE">
        <w:rPr>
          <w:rFonts w:cstheme="minorHAnsi"/>
          <w:bCs/>
          <w:noProof/>
          <w:color w:val="000000" w:themeColor="text1"/>
          <w:lang w:eastAsia="en-GB"/>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174625</wp:posOffset>
            </wp:positionV>
            <wp:extent cx="2257425" cy="666750"/>
            <wp:effectExtent l="0" t="0" r="9525" b="0"/>
            <wp:wrapNone/>
            <wp:docPr id="3" name="Picture 3" descr="Z:\Banham, Terry\Personal\TB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anham, Terry\Personal\TB 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666750"/>
                    </a:xfrm>
                    <a:prstGeom prst="rect">
                      <a:avLst/>
                    </a:prstGeom>
                    <a:noFill/>
                    <a:ln>
                      <a:noFill/>
                    </a:ln>
                  </pic:spPr>
                </pic:pic>
              </a:graphicData>
            </a:graphic>
          </wp:anchor>
        </w:drawing>
      </w:r>
      <w:r w:rsidR="00C223DE">
        <w:rPr>
          <w:rFonts w:cstheme="minorHAnsi"/>
          <w:bCs/>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7E70" w:rsidTr="00EF1516">
        <w:tc>
          <w:tcPr>
            <w:tcW w:w="4508" w:type="dxa"/>
          </w:tcPr>
          <w:p w:rsidR="00107766" w:rsidRDefault="00107766" w:rsidP="00EF1516">
            <w:pPr>
              <w:autoSpaceDE w:val="0"/>
              <w:autoSpaceDN w:val="0"/>
              <w:adjustRightInd w:val="0"/>
              <w:rPr>
                <w:rFonts w:ascii="Gotham-Bold" w:hAnsi="Gotham-Bold" w:cs="Gotham-Bold"/>
                <w:b/>
                <w:bCs/>
                <w:color w:val="520D5C"/>
                <w:sz w:val="20"/>
                <w:szCs w:val="20"/>
              </w:rPr>
            </w:pPr>
          </w:p>
          <w:p w:rsidR="00A16F2B" w:rsidRDefault="00A16F2B"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117E70" w:rsidRDefault="00117E70" w:rsidP="00EF1516">
            <w:pPr>
              <w:autoSpaceDE w:val="0"/>
              <w:autoSpaceDN w:val="0"/>
              <w:adjustRightInd w:val="0"/>
              <w:rPr>
                <w:rFonts w:ascii="Gotham-Bold" w:hAnsi="Gotham-Bold" w:cs="Gotham-Bold"/>
                <w:b/>
                <w:bCs/>
                <w:color w:val="520D5C"/>
                <w:sz w:val="20"/>
                <w:szCs w:val="20"/>
              </w:rPr>
            </w:pPr>
            <w:r>
              <w:rPr>
                <w:rFonts w:ascii="Gotham-Bold" w:hAnsi="Gotham-Bold" w:cs="Gotham-Bold"/>
                <w:b/>
                <w:bCs/>
                <w:color w:val="520D5C"/>
                <w:sz w:val="20"/>
                <w:szCs w:val="20"/>
              </w:rPr>
              <w:t>Declaration</w:t>
            </w:r>
          </w:p>
          <w:p w:rsidR="00117E70" w:rsidRPr="00DB3232" w:rsidRDefault="00117E70" w:rsidP="00EF1516">
            <w:pPr>
              <w:autoSpaceDE w:val="0"/>
              <w:autoSpaceDN w:val="0"/>
              <w:adjustRightInd w:val="0"/>
              <w:rPr>
                <w:rFonts w:ascii="GothamNarrow-Bold" w:hAnsi="GothamNarrow-Bold" w:cs="GothamNarrow-Bold"/>
                <w:b/>
                <w:bCs/>
                <w:color w:val="3D3C3B"/>
                <w:sz w:val="16"/>
                <w:szCs w:val="16"/>
              </w:rPr>
            </w:pPr>
            <w:r w:rsidRPr="00DB3232">
              <w:rPr>
                <w:rFonts w:ascii="GothamNarrow-Book" w:hAnsi="GothamNarrow-Book" w:cs="GothamNarrow-Book"/>
                <w:color w:val="3D3C3B"/>
                <w:sz w:val="16"/>
                <w:szCs w:val="16"/>
              </w:rPr>
              <w:t xml:space="preserve">I confirm that our data has been calculated according to the requirements of the </w:t>
            </w:r>
            <w:r w:rsidRPr="00DB3232">
              <w:rPr>
                <w:rFonts w:ascii="GothamNarrow-Bold" w:hAnsi="GothamNarrow-Bold" w:cs="GothamNarrow-Bold"/>
                <w:b/>
                <w:bCs/>
                <w:color w:val="3D3C3B"/>
                <w:sz w:val="16"/>
                <w:szCs w:val="16"/>
              </w:rPr>
              <w:t>Equality Act 2010</w:t>
            </w:r>
          </w:p>
          <w:p w:rsidR="00117E70" w:rsidRPr="00DB3232" w:rsidRDefault="00117E70" w:rsidP="00EF1516">
            <w:pPr>
              <w:rPr>
                <w:rFonts w:ascii="GothamNarrow-Book" w:hAnsi="GothamNarrow-Book" w:cs="GothamNarrow-Book"/>
                <w:color w:val="3D3C3B"/>
                <w:sz w:val="16"/>
                <w:szCs w:val="16"/>
              </w:rPr>
            </w:pPr>
            <w:r w:rsidRPr="00DB3232">
              <w:rPr>
                <w:rFonts w:ascii="GothamNarrow-Book" w:hAnsi="GothamNarrow-Book" w:cs="GothamNarrow-Book"/>
                <w:color w:val="3D3C3B"/>
                <w:sz w:val="16"/>
                <w:szCs w:val="16"/>
              </w:rPr>
              <w:t>(Gender Pay Gap Information) Regulations 2017.</w:t>
            </w:r>
          </w:p>
          <w:p w:rsidR="00117E70" w:rsidRPr="00DB3232" w:rsidRDefault="005E2139" w:rsidP="00EF1516">
            <w:pPr>
              <w:rPr>
                <w:sz w:val="16"/>
                <w:szCs w:val="16"/>
              </w:rPr>
            </w:pPr>
            <w:r>
              <w:rPr>
                <w:rFonts w:ascii="GothamNarrow-Book" w:hAnsi="GothamNarrow-Book" w:cs="GothamNarrow-Book"/>
                <w:color w:val="3D3C3B"/>
                <w:sz w:val="16"/>
                <w:szCs w:val="16"/>
              </w:rPr>
              <w:t>Stuart Collings</w:t>
            </w:r>
            <w:r w:rsidR="00117E70" w:rsidRPr="00DB3232">
              <w:rPr>
                <w:rFonts w:ascii="GothamNarrow-Book" w:hAnsi="GothamNarrow-Book" w:cs="GothamNarrow-Book"/>
                <w:color w:val="3D3C3B"/>
                <w:sz w:val="16"/>
                <w:szCs w:val="16"/>
              </w:rPr>
              <w:t xml:space="preserve">, CEO </w:t>
            </w:r>
          </w:p>
          <w:p w:rsidR="00117E70" w:rsidRDefault="00117E70" w:rsidP="00EF1516">
            <w:pPr>
              <w:autoSpaceDE w:val="0"/>
              <w:autoSpaceDN w:val="0"/>
              <w:adjustRightInd w:val="0"/>
              <w:rPr>
                <w:rFonts w:ascii="Gotham-Bold" w:hAnsi="Gotham-Bold" w:cs="Gotham-Bold"/>
                <w:b/>
                <w:bCs/>
                <w:color w:val="520D5C"/>
                <w:sz w:val="20"/>
                <w:szCs w:val="20"/>
              </w:rPr>
            </w:pPr>
          </w:p>
        </w:tc>
        <w:tc>
          <w:tcPr>
            <w:tcW w:w="4508" w:type="dxa"/>
          </w:tcPr>
          <w:p w:rsidR="00117E70" w:rsidRDefault="00117E70" w:rsidP="005C7378">
            <w:pPr>
              <w:autoSpaceDE w:val="0"/>
              <w:autoSpaceDN w:val="0"/>
              <w:adjustRightInd w:val="0"/>
              <w:jc w:val="center"/>
              <w:rPr>
                <w:rFonts w:ascii="Gotham-Bold" w:hAnsi="Gotham-Bold" w:cs="Gotham-Bold"/>
                <w:b/>
                <w:bCs/>
                <w:color w:val="520D5C"/>
                <w:sz w:val="20"/>
                <w:szCs w:val="20"/>
              </w:rPr>
            </w:pPr>
          </w:p>
          <w:p w:rsidR="00117E70" w:rsidRDefault="00117E70"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F23C16" w:rsidRDefault="00F23C16" w:rsidP="00EF1516">
            <w:pPr>
              <w:autoSpaceDE w:val="0"/>
              <w:autoSpaceDN w:val="0"/>
              <w:adjustRightInd w:val="0"/>
              <w:rPr>
                <w:rFonts w:ascii="Gotham-Bold" w:hAnsi="Gotham-Bold" w:cs="Gotham-Bold"/>
                <w:b/>
                <w:bCs/>
                <w:color w:val="520D5C"/>
                <w:sz w:val="20"/>
                <w:szCs w:val="20"/>
              </w:rPr>
            </w:pPr>
          </w:p>
          <w:p w:rsidR="00117E70" w:rsidRDefault="00117E70" w:rsidP="00EF1516">
            <w:pPr>
              <w:autoSpaceDE w:val="0"/>
              <w:autoSpaceDN w:val="0"/>
              <w:adjustRightInd w:val="0"/>
              <w:rPr>
                <w:rFonts w:ascii="Gotham-Bold" w:hAnsi="Gotham-Bold" w:cs="Gotham-Bold"/>
                <w:b/>
                <w:bCs/>
                <w:color w:val="520D5C"/>
                <w:sz w:val="20"/>
                <w:szCs w:val="20"/>
              </w:rPr>
            </w:pPr>
            <w:r>
              <w:rPr>
                <w:rFonts w:ascii="Gotham-Bold" w:hAnsi="Gotham-Bold" w:cs="Gotham-Bold"/>
                <w:b/>
                <w:bCs/>
                <w:color w:val="520D5C"/>
                <w:sz w:val="20"/>
                <w:szCs w:val="20"/>
              </w:rPr>
              <w:t>Declaration</w:t>
            </w:r>
          </w:p>
          <w:p w:rsidR="00117E70" w:rsidRPr="00DB3232" w:rsidRDefault="00117E70" w:rsidP="00EF1516">
            <w:pPr>
              <w:autoSpaceDE w:val="0"/>
              <w:autoSpaceDN w:val="0"/>
              <w:adjustRightInd w:val="0"/>
              <w:rPr>
                <w:rFonts w:ascii="GothamNarrow-Bold" w:hAnsi="GothamNarrow-Bold" w:cs="GothamNarrow-Bold"/>
                <w:b/>
                <w:bCs/>
                <w:color w:val="3D3C3B"/>
                <w:sz w:val="16"/>
                <w:szCs w:val="16"/>
              </w:rPr>
            </w:pPr>
            <w:r w:rsidRPr="00DB3232">
              <w:rPr>
                <w:rFonts w:ascii="GothamNarrow-Book" w:hAnsi="GothamNarrow-Book" w:cs="GothamNarrow-Book"/>
                <w:color w:val="3D3C3B"/>
                <w:sz w:val="16"/>
                <w:szCs w:val="16"/>
              </w:rPr>
              <w:t xml:space="preserve">I confirm that our data has been calculated according to the requirements of the </w:t>
            </w:r>
            <w:r w:rsidRPr="00DB3232">
              <w:rPr>
                <w:rFonts w:ascii="GothamNarrow-Bold" w:hAnsi="GothamNarrow-Bold" w:cs="GothamNarrow-Bold"/>
                <w:b/>
                <w:bCs/>
                <w:color w:val="3D3C3B"/>
                <w:sz w:val="16"/>
                <w:szCs w:val="16"/>
              </w:rPr>
              <w:t>Equality Act 2010</w:t>
            </w:r>
          </w:p>
          <w:p w:rsidR="00117E70" w:rsidRPr="00DB3232" w:rsidRDefault="00117E70" w:rsidP="00EF1516">
            <w:pPr>
              <w:rPr>
                <w:rFonts w:ascii="GothamNarrow-Book" w:hAnsi="GothamNarrow-Book" w:cs="GothamNarrow-Book"/>
                <w:color w:val="3D3C3B"/>
                <w:sz w:val="16"/>
                <w:szCs w:val="16"/>
              </w:rPr>
            </w:pPr>
            <w:r w:rsidRPr="00DB3232">
              <w:rPr>
                <w:rFonts w:ascii="GothamNarrow-Book" w:hAnsi="GothamNarrow-Book" w:cs="GothamNarrow-Book"/>
                <w:color w:val="3D3C3B"/>
                <w:sz w:val="16"/>
                <w:szCs w:val="16"/>
              </w:rPr>
              <w:t>(Gender Pay Gap Information) Regulations 2017.</w:t>
            </w:r>
          </w:p>
          <w:p w:rsidR="00117E70" w:rsidRPr="00DB3232" w:rsidRDefault="00117E70" w:rsidP="00EF1516">
            <w:pPr>
              <w:rPr>
                <w:sz w:val="16"/>
                <w:szCs w:val="16"/>
              </w:rPr>
            </w:pPr>
            <w:r w:rsidRPr="00DB3232">
              <w:rPr>
                <w:rFonts w:ascii="GothamNarrow-Book" w:hAnsi="GothamNarrow-Book" w:cs="GothamNarrow-Book"/>
                <w:color w:val="3D3C3B"/>
                <w:sz w:val="16"/>
                <w:szCs w:val="16"/>
              </w:rPr>
              <w:t xml:space="preserve">Terry Banham, HR Director </w:t>
            </w:r>
          </w:p>
          <w:p w:rsidR="00117E70" w:rsidRDefault="00117E70" w:rsidP="00EF1516">
            <w:pPr>
              <w:autoSpaceDE w:val="0"/>
              <w:autoSpaceDN w:val="0"/>
              <w:adjustRightInd w:val="0"/>
              <w:rPr>
                <w:rFonts w:ascii="Gotham-Bold" w:hAnsi="Gotham-Bold" w:cs="Gotham-Bold"/>
                <w:b/>
                <w:bCs/>
                <w:color w:val="520D5C"/>
                <w:sz w:val="20"/>
                <w:szCs w:val="20"/>
              </w:rPr>
            </w:pPr>
          </w:p>
        </w:tc>
      </w:tr>
    </w:tbl>
    <w:p w:rsidR="006F3A57" w:rsidRDefault="006F3A57" w:rsidP="006F3A57">
      <w:pPr>
        <w:autoSpaceDE w:val="0"/>
        <w:autoSpaceDN w:val="0"/>
        <w:adjustRightInd w:val="0"/>
        <w:spacing w:after="0" w:line="240" w:lineRule="auto"/>
        <w:rPr>
          <w:rFonts w:ascii="Gotham-Bold" w:hAnsi="Gotham-Bold" w:cs="Gotham-Bold"/>
          <w:b/>
          <w:bCs/>
          <w:color w:val="520D5C"/>
          <w:sz w:val="20"/>
          <w:szCs w:val="20"/>
        </w:rPr>
      </w:pPr>
    </w:p>
    <w:sectPr w:rsidR="006F3A57" w:rsidSect="00BC6A0D">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_symbol">
    <w:altName w:val="Symbol"/>
    <w:charset w:val="02"/>
    <w:family w:val="modern"/>
    <w:pitch w:val="fixed"/>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Bold">
    <w:panose1 w:val="00000000000000000000"/>
    <w:charset w:val="00"/>
    <w:family w:val="swiss"/>
    <w:notTrueType/>
    <w:pitch w:val="default"/>
    <w:sig w:usb0="00000003" w:usb1="00000000" w:usb2="00000000" w:usb3="00000000" w:csb0="00000001" w:csb1="00000000"/>
  </w:font>
  <w:font w:name="GothamNarrow-Book">
    <w:panose1 w:val="00000000000000000000"/>
    <w:charset w:val="00"/>
    <w:family w:val="swiss"/>
    <w:notTrueType/>
    <w:pitch w:val="default"/>
    <w:sig w:usb0="00000003" w:usb1="00000000" w:usb2="00000000" w:usb3="00000000" w:csb0="00000001" w:csb1="00000000"/>
  </w:font>
  <w:font w:name="Gotham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73916"/>
    <w:multiLevelType w:val="hybridMultilevel"/>
    <w:tmpl w:val="0CE2A30C"/>
    <w:lvl w:ilvl="0" w:tplc="77DA8C1E">
      <w:start w:val="1"/>
      <w:numFmt w:val="bullet"/>
      <w:lvlText w:val=""/>
      <w:lvlJc w:val="left"/>
      <w:pPr>
        <w:tabs>
          <w:tab w:val="num" w:pos="360"/>
        </w:tabs>
        <w:ind w:left="283" w:hanging="283"/>
      </w:pPr>
      <w:rPr>
        <w:rFonts w:ascii="r_symbol" w:hAnsi="r_symbol" w:hint="default"/>
        <w:b w:val="0"/>
        <w:i w:val="0"/>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05"/>
    <w:rsid w:val="00083190"/>
    <w:rsid w:val="00097156"/>
    <w:rsid w:val="000A5219"/>
    <w:rsid w:val="00107766"/>
    <w:rsid w:val="00117E70"/>
    <w:rsid w:val="00126826"/>
    <w:rsid w:val="00151DD0"/>
    <w:rsid w:val="00181CC4"/>
    <w:rsid w:val="001952BB"/>
    <w:rsid w:val="00277A7F"/>
    <w:rsid w:val="003273CE"/>
    <w:rsid w:val="0034564C"/>
    <w:rsid w:val="00380092"/>
    <w:rsid w:val="00422228"/>
    <w:rsid w:val="00462F17"/>
    <w:rsid w:val="0046675A"/>
    <w:rsid w:val="004D7F07"/>
    <w:rsid w:val="00521F01"/>
    <w:rsid w:val="005C3E70"/>
    <w:rsid w:val="005C7378"/>
    <w:rsid w:val="005E2139"/>
    <w:rsid w:val="005E7D65"/>
    <w:rsid w:val="00661F2D"/>
    <w:rsid w:val="00691D06"/>
    <w:rsid w:val="006B051D"/>
    <w:rsid w:val="006E3739"/>
    <w:rsid w:val="006F3A57"/>
    <w:rsid w:val="006F70BA"/>
    <w:rsid w:val="007004F9"/>
    <w:rsid w:val="00737500"/>
    <w:rsid w:val="00820A06"/>
    <w:rsid w:val="00836337"/>
    <w:rsid w:val="00854CA0"/>
    <w:rsid w:val="00867F34"/>
    <w:rsid w:val="00882878"/>
    <w:rsid w:val="008B0773"/>
    <w:rsid w:val="008E204F"/>
    <w:rsid w:val="008F5727"/>
    <w:rsid w:val="00947C25"/>
    <w:rsid w:val="009853D1"/>
    <w:rsid w:val="00992C1C"/>
    <w:rsid w:val="009C7976"/>
    <w:rsid w:val="009D1D47"/>
    <w:rsid w:val="00A00619"/>
    <w:rsid w:val="00A02D56"/>
    <w:rsid w:val="00A16F2B"/>
    <w:rsid w:val="00A31C4B"/>
    <w:rsid w:val="00A609F7"/>
    <w:rsid w:val="00AD4B28"/>
    <w:rsid w:val="00AF497C"/>
    <w:rsid w:val="00B16202"/>
    <w:rsid w:val="00B264D5"/>
    <w:rsid w:val="00B319F4"/>
    <w:rsid w:val="00B42A09"/>
    <w:rsid w:val="00B52777"/>
    <w:rsid w:val="00B7225E"/>
    <w:rsid w:val="00B90144"/>
    <w:rsid w:val="00B918E3"/>
    <w:rsid w:val="00BA5E22"/>
    <w:rsid w:val="00BB67B7"/>
    <w:rsid w:val="00BC6A0D"/>
    <w:rsid w:val="00BD6C4D"/>
    <w:rsid w:val="00BE6403"/>
    <w:rsid w:val="00BF084D"/>
    <w:rsid w:val="00C0235F"/>
    <w:rsid w:val="00C223DE"/>
    <w:rsid w:val="00C23A59"/>
    <w:rsid w:val="00C4118E"/>
    <w:rsid w:val="00C4234A"/>
    <w:rsid w:val="00C508CE"/>
    <w:rsid w:val="00C6696B"/>
    <w:rsid w:val="00CB29A6"/>
    <w:rsid w:val="00D16650"/>
    <w:rsid w:val="00D4207B"/>
    <w:rsid w:val="00D46262"/>
    <w:rsid w:val="00DB3232"/>
    <w:rsid w:val="00DE7149"/>
    <w:rsid w:val="00E14806"/>
    <w:rsid w:val="00E5582E"/>
    <w:rsid w:val="00E902C1"/>
    <w:rsid w:val="00EC25F4"/>
    <w:rsid w:val="00EE2F3C"/>
    <w:rsid w:val="00EF1516"/>
    <w:rsid w:val="00F23C16"/>
    <w:rsid w:val="00FA611A"/>
    <w:rsid w:val="00FB37CE"/>
    <w:rsid w:val="00FE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5E08"/>
  <w15:chartTrackingRefBased/>
  <w15:docId w15:val="{ACD460FD-208D-41C5-AFC6-0A02109B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49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36337"/>
    <w:rPr>
      <w:color w:val="0000FF"/>
      <w:u w:val="single"/>
    </w:rPr>
  </w:style>
  <w:style w:type="character" w:styleId="FollowedHyperlink">
    <w:name w:val="FollowedHyperlink"/>
    <w:basedOn w:val="DefaultParagraphFont"/>
    <w:uiPriority w:val="99"/>
    <w:semiHidden/>
    <w:unhideWhenUsed/>
    <w:rsid w:val="00836337"/>
    <w:rPr>
      <w:color w:val="954F72" w:themeColor="followedHyperlink"/>
      <w:u w:val="single"/>
    </w:rPr>
  </w:style>
  <w:style w:type="paragraph" w:styleId="BalloonText">
    <w:name w:val="Balloon Text"/>
    <w:basedOn w:val="Normal"/>
    <w:link w:val="BalloonTextChar"/>
    <w:uiPriority w:val="99"/>
    <w:semiHidden/>
    <w:unhideWhenUsed/>
    <w:rsid w:val="00C41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18E"/>
    <w:rPr>
      <w:rFonts w:ascii="Segoe UI" w:hAnsi="Segoe UI" w:cs="Segoe UI"/>
      <w:sz w:val="18"/>
      <w:szCs w:val="18"/>
    </w:rPr>
  </w:style>
  <w:style w:type="character" w:styleId="CommentReference">
    <w:name w:val="annotation reference"/>
    <w:basedOn w:val="DefaultParagraphFont"/>
    <w:uiPriority w:val="99"/>
    <w:semiHidden/>
    <w:unhideWhenUsed/>
    <w:rsid w:val="00C0235F"/>
    <w:rPr>
      <w:sz w:val="16"/>
      <w:szCs w:val="16"/>
    </w:rPr>
  </w:style>
  <w:style w:type="paragraph" w:styleId="CommentText">
    <w:name w:val="annotation text"/>
    <w:basedOn w:val="Normal"/>
    <w:link w:val="CommentTextChar"/>
    <w:uiPriority w:val="99"/>
    <w:semiHidden/>
    <w:unhideWhenUsed/>
    <w:rsid w:val="00C0235F"/>
    <w:pPr>
      <w:spacing w:line="240" w:lineRule="auto"/>
    </w:pPr>
    <w:rPr>
      <w:sz w:val="20"/>
      <w:szCs w:val="20"/>
    </w:rPr>
  </w:style>
  <w:style w:type="character" w:customStyle="1" w:styleId="CommentTextChar">
    <w:name w:val="Comment Text Char"/>
    <w:basedOn w:val="DefaultParagraphFont"/>
    <w:link w:val="CommentText"/>
    <w:uiPriority w:val="99"/>
    <w:semiHidden/>
    <w:rsid w:val="00C0235F"/>
    <w:rPr>
      <w:sz w:val="20"/>
      <w:szCs w:val="20"/>
    </w:rPr>
  </w:style>
  <w:style w:type="paragraph" w:styleId="CommentSubject">
    <w:name w:val="annotation subject"/>
    <w:basedOn w:val="CommentText"/>
    <w:next w:val="CommentText"/>
    <w:link w:val="CommentSubjectChar"/>
    <w:uiPriority w:val="99"/>
    <w:semiHidden/>
    <w:unhideWhenUsed/>
    <w:rsid w:val="00C0235F"/>
    <w:rPr>
      <w:b/>
      <w:bCs/>
    </w:rPr>
  </w:style>
  <w:style w:type="character" w:customStyle="1" w:styleId="CommentSubjectChar">
    <w:name w:val="Comment Subject Char"/>
    <w:basedOn w:val="CommentTextChar"/>
    <w:link w:val="CommentSubject"/>
    <w:uiPriority w:val="99"/>
    <w:semiHidden/>
    <w:rsid w:val="00C0235F"/>
    <w:rPr>
      <w:b/>
      <w:bCs/>
      <w:sz w:val="20"/>
      <w:szCs w:val="20"/>
    </w:rPr>
  </w:style>
  <w:style w:type="paragraph" w:customStyle="1" w:styleId="Default">
    <w:name w:val="Default"/>
    <w:rsid w:val="006F70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5063">
      <w:bodyDiv w:val="1"/>
      <w:marLeft w:val="0"/>
      <w:marRight w:val="0"/>
      <w:marTop w:val="0"/>
      <w:marBottom w:val="0"/>
      <w:divBdr>
        <w:top w:val="none" w:sz="0" w:space="0" w:color="auto"/>
        <w:left w:val="none" w:sz="0" w:space="0" w:color="auto"/>
        <w:bottom w:val="none" w:sz="0" w:space="0" w:color="auto"/>
        <w:right w:val="none" w:sz="0" w:space="0" w:color="auto"/>
      </w:divBdr>
    </w:div>
    <w:div w:id="430974286">
      <w:bodyDiv w:val="1"/>
      <w:marLeft w:val="0"/>
      <w:marRight w:val="0"/>
      <w:marTop w:val="0"/>
      <w:marBottom w:val="0"/>
      <w:divBdr>
        <w:top w:val="none" w:sz="0" w:space="0" w:color="auto"/>
        <w:left w:val="none" w:sz="0" w:space="0" w:color="auto"/>
        <w:bottom w:val="none" w:sz="0" w:space="0" w:color="auto"/>
        <w:right w:val="none" w:sz="0" w:space="0" w:color="auto"/>
      </w:divBdr>
    </w:div>
    <w:div w:id="661855822">
      <w:bodyDiv w:val="1"/>
      <w:marLeft w:val="0"/>
      <w:marRight w:val="0"/>
      <w:marTop w:val="0"/>
      <w:marBottom w:val="0"/>
      <w:divBdr>
        <w:top w:val="none" w:sz="0" w:space="0" w:color="auto"/>
        <w:left w:val="none" w:sz="0" w:space="0" w:color="auto"/>
        <w:bottom w:val="none" w:sz="0" w:space="0" w:color="auto"/>
        <w:right w:val="none" w:sz="0" w:space="0" w:color="auto"/>
      </w:divBdr>
    </w:div>
    <w:div w:id="759527458">
      <w:bodyDiv w:val="1"/>
      <w:marLeft w:val="0"/>
      <w:marRight w:val="0"/>
      <w:marTop w:val="0"/>
      <w:marBottom w:val="0"/>
      <w:divBdr>
        <w:top w:val="none" w:sz="0" w:space="0" w:color="auto"/>
        <w:left w:val="none" w:sz="0" w:space="0" w:color="auto"/>
        <w:bottom w:val="none" w:sz="0" w:space="0" w:color="auto"/>
        <w:right w:val="none" w:sz="0" w:space="0" w:color="auto"/>
      </w:divBdr>
    </w:div>
    <w:div w:id="844704498">
      <w:bodyDiv w:val="1"/>
      <w:marLeft w:val="0"/>
      <w:marRight w:val="0"/>
      <w:marTop w:val="0"/>
      <w:marBottom w:val="0"/>
      <w:divBdr>
        <w:top w:val="none" w:sz="0" w:space="0" w:color="auto"/>
        <w:left w:val="none" w:sz="0" w:space="0" w:color="auto"/>
        <w:bottom w:val="none" w:sz="0" w:space="0" w:color="auto"/>
        <w:right w:val="none" w:sz="0" w:space="0" w:color="auto"/>
      </w:divBdr>
    </w:div>
    <w:div w:id="921724554">
      <w:bodyDiv w:val="1"/>
      <w:marLeft w:val="0"/>
      <w:marRight w:val="0"/>
      <w:marTop w:val="0"/>
      <w:marBottom w:val="0"/>
      <w:divBdr>
        <w:top w:val="none" w:sz="0" w:space="0" w:color="auto"/>
        <w:left w:val="none" w:sz="0" w:space="0" w:color="auto"/>
        <w:bottom w:val="none" w:sz="0" w:space="0" w:color="auto"/>
        <w:right w:val="none" w:sz="0" w:space="0" w:color="auto"/>
      </w:divBdr>
    </w:div>
    <w:div w:id="1337149507">
      <w:bodyDiv w:val="1"/>
      <w:marLeft w:val="0"/>
      <w:marRight w:val="0"/>
      <w:marTop w:val="0"/>
      <w:marBottom w:val="0"/>
      <w:divBdr>
        <w:top w:val="none" w:sz="0" w:space="0" w:color="auto"/>
        <w:left w:val="none" w:sz="0" w:space="0" w:color="auto"/>
        <w:bottom w:val="none" w:sz="0" w:space="0" w:color="auto"/>
        <w:right w:val="none" w:sz="0" w:space="0" w:color="auto"/>
      </w:divBdr>
    </w:div>
    <w:div w:id="1388383683">
      <w:bodyDiv w:val="1"/>
      <w:marLeft w:val="0"/>
      <w:marRight w:val="0"/>
      <w:marTop w:val="0"/>
      <w:marBottom w:val="0"/>
      <w:divBdr>
        <w:top w:val="none" w:sz="0" w:space="0" w:color="auto"/>
        <w:left w:val="none" w:sz="0" w:space="0" w:color="auto"/>
        <w:bottom w:val="none" w:sz="0" w:space="0" w:color="auto"/>
        <w:right w:val="none" w:sz="0" w:space="0" w:color="auto"/>
      </w:divBdr>
    </w:div>
    <w:div w:id="1709796653">
      <w:bodyDiv w:val="1"/>
      <w:marLeft w:val="0"/>
      <w:marRight w:val="0"/>
      <w:marTop w:val="0"/>
      <w:marBottom w:val="0"/>
      <w:divBdr>
        <w:top w:val="none" w:sz="0" w:space="0" w:color="auto"/>
        <w:left w:val="none" w:sz="0" w:space="0" w:color="auto"/>
        <w:bottom w:val="none" w:sz="0" w:space="0" w:color="auto"/>
        <w:right w:val="none" w:sz="0" w:space="0" w:color="auto"/>
      </w:divBdr>
    </w:div>
    <w:div w:id="19875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14/relationships/chartEx" Target="charts/chartEx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L:\HR%20Confidential\Operations%20Team\HR%20Support\Payroll\Gender%20Pay%20Reporting\April%202017\Chemical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Sheet1!$B$3:$B$4</cx:f>
        <cx:lvl ptCount="2">
          <cx:pt idx="0">Male</cx:pt>
          <cx:pt idx="1">Female</cx:pt>
        </cx:lvl>
      </cx:strDim>
      <cx:numDim type="size">
        <cx:f>Sheet1!$C$3:$C$4</cx:f>
        <cx:lvl ptCount="2" formatCode="General">
          <cx:pt idx="0">454</cx:pt>
          <cx:pt idx="1">118</cx:pt>
        </cx:lvl>
      </cx:numDim>
    </cx:data>
  </cx:chartData>
  <cx:chart>
    <cx:title pos="t" align="ctr" overlay="0">
      <cx:tx>
        <cx:rich>
          <a:bodyPr spcFirstLastPara="1" vertOverflow="ellipsis" wrap="square" lIns="0" tIns="0" rIns="0" bIns="0" anchor="ctr" anchorCtr="1"/>
          <a:lstStyle/>
          <a:p>
            <a:pPr algn="ctr">
              <a:defRPr/>
            </a:pPr>
            <a:r>
              <a:rPr lang="en-US"/>
              <a:t>Employee Split</a:t>
            </a:r>
          </a:p>
        </cx:rich>
      </cx:tx>
    </cx:title>
    <cx:plotArea>
      <cx:plotAreaRegion>
        <cx:series layoutId="sunburst" uniqueId="{1598BFB2-4D6E-40D3-9E4B-1A460F114D67}">
          <cx:dataLabels pos="ctr">
            <cx:visibility seriesName="0" categoryName="1" value="0"/>
          </cx:dataLabels>
          <cx:dataId val="0"/>
        </cx:series>
      </cx:plotAreaRegion>
    </cx:plotArea>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50" kern="1200"/>
    <cs:bodyPr wrap="square" lIns="38100" tIns="19050" rIns="38100" bIns="19050" anchor="ctr">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9525">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INEOS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Anthea A</dc:creator>
  <cp:keywords/>
  <dc:description/>
  <cp:lastModifiedBy>Barrett, Anthea A</cp:lastModifiedBy>
  <cp:revision>3</cp:revision>
  <cp:lastPrinted>2022-03-21T15:09:00Z</cp:lastPrinted>
  <dcterms:created xsi:type="dcterms:W3CDTF">2024-03-15T11:23:00Z</dcterms:created>
  <dcterms:modified xsi:type="dcterms:W3CDTF">2024-03-15T11:31:00Z</dcterms:modified>
</cp:coreProperties>
</file>